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7A7D" w14:textId="76BB2097" w:rsidR="002A45CB" w:rsidRPr="00AD529E" w:rsidRDefault="009A38A1" w:rsidP="002A45CB">
      <w:pPr>
        <w:jc w:val="center"/>
        <w:rPr>
          <w:rFonts w:cstheme="minorHAnsi"/>
          <w:b/>
          <w:bCs/>
          <w:i/>
          <w:sz w:val="24"/>
        </w:rPr>
      </w:pPr>
      <w:r>
        <w:rPr>
          <w:rFonts w:cstheme="minorHAnsi"/>
          <w:b/>
          <w:bCs/>
          <w:i/>
          <w:sz w:val="24"/>
        </w:rPr>
        <w:t>A</w:t>
      </w:r>
      <w:r w:rsidR="002A45CB" w:rsidRPr="00AD529E">
        <w:rPr>
          <w:rFonts w:cstheme="minorHAnsi"/>
          <w:b/>
          <w:bCs/>
          <w:i/>
          <w:sz w:val="24"/>
        </w:rPr>
        <w:t>gency Sample Notes to the Financial Statements</w:t>
      </w:r>
    </w:p>
    <w:p w14:paraId="6F2BD2DE" w14:textId="6A5EC7C4" w:rsidR="002A45CB" w:rsidRPr="00AD529E" w:rsidRDefault="002A45CB" w:rsidP="002A45CB">
      <w:pPr>
        <w:jc w:val="center"/>
        <w:rPr>
          <w:rFonts w:cstheme="minorHAnsi"/>
          <w:b/>
          <w:bCs/>
          <w:i/>
          <w:sz w:val="24"/>
        </w:rPr>
      </w:pPr>
      <w:r w:rsidRPr="00AD529E">
        <w:rPr>
          <w:rFonts w:cstheme="minorHAnsi"/>
          <w:b/>
          <w:bCs/>
          <w:i/>
          <w:sz w:val="24"/>
        </w:rPr>
        <w:t>for Pre-Medicare Retirees</w:t>
      </w:r>
    </w:p>
    <w:p w14:paraId="7F457718" w14:textId="51AA944D" w:rsidR="002A45CB" w:rsidRDefault="002A45CB" w:rsidP="002A45CB">
      <w:pPr>
        <w:jc w:val="center"/>
        <w:rPr>
          <w:rFonts w:cstheme="minorHAnsi"/>
          <w:b/>
          <w:bCs/>
          <w:i/>
          <w:sz w:val="24"/>
        </w:rPr>
      </w:pPr>
      <w:r w:rsidRPr="00AD529E">
        <w:rPr>
          <w:rFonts w:cstheme="minorHAnsi"/>
          <w:b/>
          <w:bCs/>
          <w:i/>
          <w:sz w:val="24"/>
        </w:rPr>
        <w:t xml:space="preserve">For the Fiscal Year Ended June 30, </w:t>
      </w:r>
      <w:r w:rsidR="0099352E">
        <w:rPr>
          <w:rFonts w:cstheme="minorHAnsi"/>
          <w:b/>
          <w:bCs/>
          <w:i/>
          <w:sz w:val="24"/>
        </w:rPr>
        <w:t>2025</w:t>
      </w:r>
    </w:p>
    <w:p w14:paraId="033EE484" w14:textId="77777777" w:rsidR="00BE3BF0" w:rsidRPr="00AD529E" w:rsidRDefault="00BE3BF0" w:rsidP="00BE3BF0">
      <w:pPr>
        <w:jc w:val="both"/>
        <w:rPr>
          <w:rFonts w:cstheme="minorHAnsi"/>
          <w:b/>
          <w:i/>
        </w:rPr>
      </w:pPr>
    </w:p>
    <w:p w14:paraId="4B0228DD" w14:textId="77777777" w:rsidR="00BE3BF0" w:rsidRPr="00F83C95" w:rsidRDefault="00BE3BF0" w:rsidP="00BE3BF0">
      <w:pPr>
        <w:jc w:val="both"/>
        <w:rPr>
          <w:rFonts w:cstheme="minorHAnsi"/>
          <w:i/>
          <w:sz w:val="24"/>
        </w:rPr>
      </w:pPr>
      <w:r w:rsidRPr="00F83C95">
        <w:rPr>
          <w:rFonts w:cstheme="minorHAnsi"/>
          <w:b/>
          <w:i/>
          <w:sz w:val="24"/>
        </w:rPr>
        <w:t>Instructions</w:t>
      </w:r>
      <w:r w:rsidRPr="00F83C95">
        <w:rPr>
          <w:rFonts w:cstheme="minorHAnsi"/>
          <w:i/>
          <w:sz w:val="24"/>
        </w:rPr>
        <w:t xml:space="preserve"> – The Agency Sample Footnotes to the Financial Statements for the Virginia State Health Plans Program for Pre-Medicare Retirees are based on the data required by GASB Statement No. 75 and the related information in the Implementation Guide. These are provided by the Department of Human Resource Management as a guide for agencies in the development of their GASB 75 note disclosures.</w:t>
      </w:r>
      <w:r w:rsidRPr="00F83C95">
        <w:rPr>
          <w:rFonts w:cstheme="minorHAnsi"/>
          <w:b/>
          <w:bCs/>
          <w:i/>
          <w:color w:val="FF0000"/>
          <w:sz w:val="24"/>
        </w:rPr>
        <w:t xml:space="preserve"> </w:t>
      </w:r>
    </w:p>
    <w:p w14:paraId="40CACFF4" w14:textId="27F3C1D7" w:rsidR="00B95A14" w:rsidRPr="00F83C95" w:rsidRDefault="00BE3BF0" w:rsidP="00BE3BF0">
      <w:pPr>
        <w:jc w:val="both"/>
        <w:rPr>
          <w:rFonts w:cstheme="minorHAnsi"/>
          <w:i/>
          <w:sz w:val="24"/>
        </w:rPr>
      </w:pPr>
      <w:r w:rsidRPr="00F83C95">
        <w:rPr>
          <w:rFonts w:cstheme="minorHAnsi"/>
          <w:i/>
          <w:sz w:val="24"/>
        </w:rPr>
        <w:t xml:space="preserve"> The GASB 75 schedules referenced in this document can be found in the Excel Spreadsheet entitled “</w:t>
      </w:r>
      <w:r w:rsidR="0099352E">
        <w:rPr>
          <w:rFonts w:cstheme="minorHAnsi"/>
          <w:i/>
          <w:sz w:val="24"/>
        </w:rPr>
        <w:t>2025</w:t>
      </w:r>
      <w:r w:rsidR="00DD3D76">
        <w:rPr>
          <w:rFonts w:cstheme="minorHAnsi"/>
          <w:i/>
          <w:sz w:val="24"/>
        </w:rPr>
        <w:t xml:space="preserve"> </w:t>
      </w:r>
      <w:r w:rsidRPr="002C4DC8">
        <w:rPr>
          <w:rFonts w:cstheme="minorHAnsi"/>
          <w:i/>
          <w:sz w:val="24"/>
        </w:rPr>
        <w:t>GASB 75 Sample Journal Entries and Schedules.xlsx</w:t>
      </w:r>
      <w:r w:rsidRPr="00F83C95">
        <w:rPr>
          <w:rFonts w:cstheme="minorHAnsi"/>
          <w:i/>
          <w:sz w:val="24"/>
        </w:rPr>
        <w:t>” on the Finance</w:t>
      </w:r>
      <w:r w:rsidR="00AB1D0A">
        <w:rPr>
          <w:rFonts w:cstheme="minorHAnsi"/>
          <w:i/>
          <w:sz w:val="24"/>
        </w:rPr>
        <w:t xml:space="preserve"> and Administration</w:t>
      </w:r>
      <w:r w:rsidRPr="00F83C95">
        <w:rPr>
          <w:rFonts w:cstheme="minorHAnsi"/>
          <w:i/>
          <w:sz w:val="24"/>
        </w:rPr>
        <w:t xml:space="preserve"> page of the DHRM website at</w:t>
      </w:r>
      <w:r w:rsidR="00734762">
        <w:rPr>
          <w:rFonts w:cstheme="minorHAnsi"/>
          <w:i/>
          <w:sz w:val="24"/>
        </w:rPr>
        <w:t xml:space="preserve"> </w:t>
      </w:r>
      <w:hyperlink r:id="rId12" w:history="1">
        <w:r w:rsidR="00734762" w:rsidRPr="00023A84">
          <w:rPr>
            <w:rStyle w:val="Hyperlink"/>
            <w:i/>
            <w:sz w:val="24"/>
            <w:szCs w:val="24"/>
          </w:rPr>
          <w:t>https://www.dhrm.virginia.gov/finance-and-administration</w:t>
        </w:r>
      </w:hyperlink>
      <w:r w:rsidR="00222492" w:rsidRPr="00F83C95">
        <w:rPr>
          <w:rStyle w:val="Hyperlink"/>
          <w:rFonts w:cstheme="minorHAnsi"/>
          <w:i/>
          <w:color w:val="auto"/>
          <w:sz w:val="24"/>
          <w:u w:val="none"/>
        </w:rPr>
        <w:t>.</w:t>
      </w:r>
    </w:p>
    <w:p w14:paraId="21BCDE13" w14:textId="050D849D" w:rsidR="00BE3BF0" w:rsidRPr="00F83C95" w:rsidRDefault="00BE3BF0" w:rsidP="00BE3BF0">
      <w:pPr>
        <w:jc w:val="both"/>
        <w:rPr>
          <w:rFonts w:cstheme="minorHAnsi"/>
          <w:i/>
          <w:sz w:val="24"/>
        </w:rPr>
      </w:pPr>
      <w:r w:rsidRPr="00F83C95">
        <w:rPr>
          <w:rFonts w:cstheme="minorHAnsi"/>
          <w:i/>
          <w:sz w:val="24"/>
        </w:rPr>
        <w:t xml:space="preserve"> Within the sample Notes to the Financial Statements, the sample Required Supplementary Information and the sample Journal Entries there are </w:t>
      </w:r>
      <w:proofErr w:type="gramStart"/>
      <w:r w:rsidRPr="00F83C95">
        <w:rPr>
          <w:rFonts w:cstheme="minorHAnsi"/>
          <w:i/>
          <w:sz w:val="24"/>
        </w:rPr>
        <w:t>a number of</w:t>
      </w:r>
      <w:proofErr w:type="gramEnd"/>
      <w:r w:rsidRPr="00F83C95">
        <w:rPr>
          <w:rFonts w:cstheme="minorHAnsi"/>
          <w:i/>
          <w:sz w:val="24"/>
        </w:rPr>
        <w:t xml:space="preserve"> variable items which each agency must fill in using their own unique information. For each of these items, we have identified the source of the information within schedules.  Most </w:t>
      </w:r>
      <w:proofErr w:type="gramStart"/>
      <w:r w:rsidRPr="00F83C95">
        <w:rPr>
          <w:rFonts w:cstheme="minorHAnsi"/>
          <w:i/>
          <w:sz w:val="24"/>
        </w:rPr>
        <w:t>all of</w:t>
      </w:r>
      <w:proofErr w:type="gramEnd"/>
      <w:r w:rsidRPr="00F83C95">
        <w:rPr>
          <w:rFonts w:cstheme="minorHAnsi"/>
          <w:i/>
          <w:sz w:val="24"/>
        </w:rPr>
        <w:t xml:space="preserve"> the data in the schedules is contained in the GASB 75 Valuation report from the DHRM actuary.</w:t>
      </w:r>
      <w:r w:rsidRPr="00F83C95">
        <w:rPr>
          <w:rFonts w:cstheme="minorHAnsi"/>
          <w:b/>
          <w:bCs/>
          <w:i/>
          <w:color w:val="FF0000"/>
          <w:sz w:val="24"/>
        </w:rPr>
        <w:t xml:space="preserve"> </w:t>
      </w:r>
    </w:p>
    <w:p w14:paraId="65A04AA7" w14:textId="0051DF68" w:rsidR="00BE3BF0" w:rsidRPr="00F83C95" w:rsidRDefault="00BE3BF0" w:rsidP="00BE3BF0">
      <w:pPr>
        <w:jc w:val="both"/>
        <w:rPr>
          <w:rFonts w:cstheme="minorHAnsi"/>
          <w:b/>
          <w:i/>
          <w:sz w:val="24"/>
        </w:rPr>
      </w:pPr>
      <w:r w:rsidRPr="00F83C95">
        <w:rPr>
          <w:rFonts w:cstheme="minorHAnsi"/>
          <w:b/>
          <w:i/>
          <w:sz w:val="24"/>
        </w:rPr>
        <w:t xml:space="preserve">Covered Employee Payroll (as required by Required Supplementary Information on the last page) is all employee </w:t>
      </w:r>
      <w:r w:rsidR="005F43D1" w:rsidRPr="00F83C95">
        <w:rPr>
          <w:rFonts w:cstheme="minorHAnsi"/>
          <w:b/>
          <w:i/>
          <w:sz w:val="24"/>
        </w:rPr>
        <w:t>payrolls</w:t>
      </w:r>
      <w:r w:rsidRPr="00F83C95">
        <w:rPr>
          <w:rFonts w:cstheme="minorHAnsi"/>
          <w:b/>
          <w:i/>
          <w:sz w:val="24"/>
        </w:rPr>
        <w:t xml:space="preserve"> including salary and bonuses for the period. </w:t>
      </w:r>
    </w:p>
    <w:p w14:paraId="515CDB02" w14:textId="6537834E" w:rsidR="00BE3BF0" w:rsidRPr="00F83C95" w:rsidRDefault="00BE3BF0" w:rsidP="00BE3BF0">
      <w:pPr>
        <w:jc w:val="both"/>
        <w:rPr>
          <w:rFonts w:cstheme="minorHAnsi"/>
          <w:b/>
          <w:i/>
          <w:sz w:val="24"/>
        </w:rPr>
      </w:pPr>
      <w:r w:rsidRPr="00F83C95">
        <w:rPr>
          <w:rFonts w:cstheme="minorHAnsi"/>
          <w:b/>
          <w:i/>
          <w:sz w:val="24"/>
        </w:rPr>
        <w:t xml:space="preserve">FOR THE SAMPLE JOURNAL ENTRY, an agency can enter the number of its agency </w:t>
      </w:r>
      <w:r w:rsidR="000033C6" w:rsidRPr="00F83C95">
        <w:rPr>
          <w:rFonts w:cstheme="minorHAnsi"/>
          <w:b/>
          <w:i/>
          <w:sz w:val="24"/>
        </w:rPr>
        <w:t>on</w:t>
      </w:r>
      <w:r w:rsidRPr="00F83C95">
        <w:rPr>
          <w:rFonts w:cstheme="minorHAnsi"/>
          <w:b/>
          <w:i/>
          <w:sz w:val="24"/>
        </w:rPr>
        <w:t xml:space="preserve"> cell B3 of the JE Template Tab of the Excel spreadsheet.  Use the dropdown box to select your agency. Entering the number should populate the amounts from the schedules necessary for the journal entries.  The number should be verified by reviewing the accompanying schedules in the spread sheet. </w:t>
      </w:r>
    </w:p>
    <w:p w14:paraId="724ABC9B" w14:textId="77777777" w:rsidR="00BE3BF0" w:rsidRPr="00F83C95" w:rsidRDefault="00BE3BF0" w:rsidP="00BE3BF0">
      <w:pPr>
        <w:jc w:val="both"/>
        <w:rPr>
          <w:rFonts w:cstheme="minorHAnsi"/>
          <w:i/>
          <w:sz w:val="24"/>
        </w:rPr>
      </w:pPr>
      <w:r w:rsidRPr="00F83C95">
        <w:rPr>
          <w:rFonts w:cstheme="minorHAnsi"/>
          <w:i/>
          <w:sz w:val="24"/>
        </w:rPr>
        <w:t>The information in this document is provided as an additional resource for agencies but each agency is responsible for their own Notes to the Financial Statements.  Agencies should review the language and other information provided with their auditors.</w:t>
      </w:r>
    </w:p>
    <w:p w14:paraId="35DC7746" w14:textId="396D1E2D" w:rsidR="00AD529E" w:rsidRPr="00AB1D0A" w:rsidRDefault="00BE3BF0" w:rsidP="00AB1D0A">
      <w:pPr>
        <w:jc w:val="both"/>
        <w:rPr>
          <w:rFonts w:cstheme="minorHAnsi"/>
          <w:i/>
          <w:sz w:val="24"/>
        </w:rPr>
      </w:pPr>
      <w:r w:rsidRPr="00F83C95">
        <w:rPr>
          <w:rFonts w:cstheme="minorHAnsi"/>
          <w:i/>
          <w:sz w:val="24"/>
        </w:rPr>
        <w:t xml:space="preserve">If you have any questions concerning this information, please contact </w:t>
      </w:r>
      <w:r w:rsidR="00F20ECE">
        <w:rPr>
          <w:rFonts w:cstheme="minorHAnsi"/>
          <w:i/>
          <w:sz w:val="24"/>
        </w:rPr>
        <w:t>Denise Sandlin</w:t>
      </w:r>
      <w:r w:rsidRPr="00F83C95">
        <w:rPr>
          <w:rFonts w:cstheme="minorHAnsi"/>
          <w:i/>
          <w:sz w:val="24"/>
        </w:rPr>
        <w:t xml:space="preserve"> at (804) </w:t>
      </w:r>
      <w:r w:rsidR="007F0031">
        <w:rPr>
          <w:rFonts w:cstheme="minorHAnsi"/>
          <w:i/>
          <w:sz w:val="24"/>
        </w:rPr>
        <w:t>887-0020</w:t>
      </w:r>
      <w:r w:rsidR="00AB1D0A" w:rsidRPr="00F83C95">
        <w:rPr>
          <w:rFonts w:cstheme="minorHAnsi"/>
          <w:i/>
          <w:sz w:val="24"/>
        </w:rPr>
        <w:t xml:space="preserve"> </w:t>
      </w:r>
      <w:r w:rsidRPr="00F83C95">
        <w:rPr>
          <w:rFonts w:cstheme="minorHAnsi"/>
          <w:i/>
          <w:sz w:val="24"/>
        </w:rPr>
        <w:t>or email at</w:t>
      </w:r>
      <w:r w:rsidR="00F20ECE">
        <w:rPr>
          <w:rFonts w:cstheme="minorHAnsi"/>
          <w:i/>
          <w:sz w:val="24"/>
        </w:rPr>
        <w:t xml:space="preserve"> denise.sandlin</w:t>
      </w:r>
      <w:r w:rsidR="00AB1D0A">
        <w:rPr>
          <w:rFonts w:cstheme="minorHAnsi"/>
          <w:i/>
          <w:sz w:val="24"/>
        </w:rPr>
        <w:t>@dhrm.virginia.gov</w:t>
      </w:r>
      <w:r w:rsidR="00AB1D0A">
        <w:rPr>
          <w:rFonts w:ascii="Arial" w:hAnsi="Arial" w:cs="Arial"/>
          <w:b/>
          <w:bCs/>
          <w:i/>
          <w:sz w:val="20"/>
          <w:szCs w:val="20"/>
        </w:rPr>
        <w:t>.</w:t>
      </w:r>
    </w:p>
    <w:p w14:paraId="7B7380B8" w14:textId="4E642C7C" w:rsidR="001A65DE" w:rsidRPr="00AD529E" w:rsidRDefault="00DF7EA9" w:rsidP="001A65DE">
      <w:pPr>
        <w:rPr>
          <w:rFonts w:cstheme="minorHAnsi"/>
          <w:b/>
          <w:bCs/>
          <w:i/>
        </w:rPr>
      </w:pPr>
      <w:r w:rsidRPr="00AD529E">
        <w:rPr>
          <w:rFonts w:cstheme="minorHAnsi"/>
          <w:b/>
          <w:bCs/>
          <w:i/>
        </w:rPr>
        <w:t>Agency</w:t>
      </w:r>
      <w:r w:rsidR="00AC3962" w:rsidRPr="00AD529E">
        <w:rPr>
          <w:rFonts w:cstheme="minorHAnsi"/>
          <w:b/>
          <w:bCs/>
          <w:i/>
        </w:rPr>
        <w:t xml:space="preserve"> Sample</w:t>
      </w:r>
      <w:r w:rsidRPr="00AD529E">
        <w:rPr>
          <w:rFonts w:cstheme="minorHAnsi"/>
          <w:b/>
          <w:bCs/>
          <w:i/>
        </w:rPr>
        <w:t xml:space="preserve"> </w:t>
      </w:r>
      <w:r w:rsidR="001A65DE" w:rsidRPr="00AD529E">
        <w:rPr>
          <w:rFonts w:cstheme="minorHAnsi"/>
          <w:b/>
          <w:bCs/>
          <w:i/>
        </w:rPr>
        <w:t>Notes to the Financial Statements</w:t>
      </w:r>
    </w:p>
    <w:p w14:paraId="7B7380B9" w14:textId="39AB2C8F" w:rsidR="001A65DE" w:rsidRPr="00AD529E" w:rsidRDefault="001A65DE" w:rsidP="001A65DE">
      <w:pPr>
        <w:rPr>
          <w:rFonts w:cstheme="minorHAnsi"/>
          <w:b/>
          <w:bCs/>
          <w:i/>
        </w:rPr>
      </w:pPr>
      <w:r w:rsidRPr="00AD529E">
        <w:rPr>
          <w:rFonts w:cstheme="minorHAnsi"/>
          <w:b/>
          <w:bCs/>
          <w:i/>
        </w:rPr>
        <w:t xml:space="preserve">Commonwealth of Virginia State Health </w:t>
      </w:r>
      <w:r w:rsidR="00DA04B2" w:rsidRPr="00AD529E">
        <w:rPr>
          <w:rFonts w:cstheme="minorHAnsi"/>
          <w:b/>
          <w:bCs/>
          <w:i/>
        </w:rPr>
        <w:t xml:space="preserve">Plans </w:t>
      </w:r>
      <w:r w:rsidRPr="00AD529E">
        <w:rPr>
          <w:rFonts w:cstheme="minorHAnsi"/>
          <w:b/>
          <w:bCs/>
          <w:i/>
        </w:rPr>
        <w:t>Program for Pre-Medicare Retirees</w:t>
      </w:r>
    </w:p>
    <w:p w14:paraId="7B7380BA" w14:textId="7D775146" w:rsidR="001A65DE" w:rsidRPr="00100871" w:rsidRDefault="001A65DE" w:rsidP="003F5F10">
      <w:pPr>
        <w:rPr>
          <w:rFonts w:ascii="Arial" w:hAnsi="Arial" w:cs="Arial"/>
          <w:b/>
          <w:bCs/>
          <w:i/>
          <w:sz w:val="20"/>
          <w:szCs w:val="20"/>
        </w:rPr>
      </w:pPr>
      <w:r w:rsidRPr="00AD529E">
        <w:rPr>
          <w:rFonts w:cstheme="minorHAnsi"/>
          <w:b/>
          <w:bCs/>
          <w:i/>
        </w:rPr>
        <w:lastRenderedPageBreak/>
        <w:t xml:space="preserve">For the Fiscal Year Ended June 30, </w:t>
      </w:r>
      <w:r w:rsidR="0099352E">
        <w:rPr>
          <w:rFonts w:cstheme="minorHAnsi"/>
          <w:b/>
          <w:bCs/>
          <w:i/>
        </w:rPr>
        <w:t>2025</w:t>
      </w:r>
      <w:r w:rsidRPr="00AD529E">
        <w:rPr>
          <w:rFonts w:cstheme="minorHAnsi"/>
          <w:b/>
          <w:bCs/>
          <w:i/>
          <w:sz w:val="24"/>
          <w:szCs w:val="24"/>
        </w:rPr>
        <w:cr/>
      </w:r>
    </w:p>
    <w:p w14:paraId="0A729649" w14:textId="77777777" w:rsidR="00994EE3" w:rsidRPr="00AD529E" w:rsidRDefault="00994EE3" w:rsidP="00994EE3">
      <w:pPr>
        <w:spacing w:after="160" w:line="259" w:lineRule="auto"/>
        <w:rPr>
          <w:rFonts w:eastAsia="Calibri" w:cstheme="minorHAnsi"/>
          <w:b/>
          <w:bCs/>
          <w:u w:val="single"/>
        </w:rPr>
      </w:pPr>
      <w:r w:rsidRPr="00AD529E">
        <w:rPr>
          <w:rFonts w:eastAsia="Calibri" w:cstheme="minorHAnsi"/>
          <w:b/>
          <w:bCs/>
          <w:u w:val="single"/>
        </w:rPr>
        <w:t xml:space="preserve">Summary of Significant Accounting Policies </w:t>
      </w:r>
    </w:p>
    <w:p w14:paraId="68FC2FEE" w14:textId="77777777" w:rsidR="00994EE3" w:rsidRPr="00AD529E" w:rsidRDefault="00994EE3" w:rsidP="00994EE3">
      <w:pPr>
        <w:spacing w:after="160" w:line="259" w:lineRule="auto"/>
        <w:rPr>
          <w:rFonts w:eastAsia="Calibri" w:cstheme="minorHAnsi"/>
          <w:b/>
          <w:i/>
        </w:rPr>
      </w:pPr>
      <w:r w:rsidRPr="00AD529E">
        <w:rPr>
          <w:rFonts w:eastAsia="Calibri" w:cstheme="minorHAnsi"/>
          <w:b/>
          <w:i/>
        </w:rPr>
        <w:t>Pre-Medicare Retiree Healthcare Plan</w:t>
      </w:r>
    </w:p>
    <w:p w14:paraId="2DC7AD41" w14:textId="647863E0" w:rsidR="00994EE3" w:rsidRPr="00AD529E" w:rsidRDefault="00994EE3" w:rsidP="00A84CE9">
      <w:pPr>
        <w:spacing w:after="160" w:line="259" w:lineRule="auto"/>
        <w:rPr>
          <w:rFonts w:eastAsia="Calibri" w:cstheme="minorHAnsi"/>
        </w:rPr>
      </w:pPr>
      <w:r w:rsidRPr="00AD529E">
        <w:rPr>
          <w:rFonts w:eastAsia="Calibri" w:cstheme="minorHAnsi"/>
        </w:rPr>
        <w:t xml:space="preserve">Pre-Medicare Retiree Healthcare is a single-employer defined benefit </w:t>
      </w:r>
      <w:r w:rsidR="009F28A9">
        <w:rPr>
          <w:rFonts w:eastAsia="Calibri" w:cstheme="minorHAnsi"/>
        </w:rPr>
        <w:t>Other Post Employment Benefits (</w:t>
      </w:r>
      <w:r w:rsidRPr="00AD529E">
        <w:rPr>
          <w:rFonts w:eastAsia="Calibri" w:cstheme="minorHAnsi"/>
        </w:rPr>
        <w:t>OPEB</w:t>
      </w:r>
      <w:r w:rsidR="009F28A9">
        <w:rPr>
          <w:rFonts w:eastAsia="Calibri" w:cstheme="minorHAnsi"/>
        </w:rPr>
        <w:t>)</w:t>
      </w:r>
      <w:r w:rsidRPr="00AD529E">
        <w:rPr>
          <w:rFonts w:eastAsia="Calibri" w:cstheme="minorHAnsi"/>
        </w:rPr>
        <w:t xml:space="preserve"> plan that is treated like a cost-sharing plan for financial reporting purposes. This program was established by Title 2.2, Chapter 28 of the </w:t>
      </w:r>
      <w:r w:rsidRPr="00AD529E">
        <w:rPr>
          <w:rFonts w:eastAsia="Calibri" w:cstheme="minorHAnsi"/>
          <w:i/>
        </w:rPr>
        <w:t>Code of Virginia</w:t>
      </w:r>
      <w:r w:rsidRPr="00AD529E">
        <w:rPr>
          <w:rFonts w:eastAsia="Calibri" w:cstheme="minorHAnsi"/>
        </w:rPr>
        <w:t xml:space="preserve"> for retirees who are not yet eligible to participate in Medicare. It is the same health insurance program offered to active employees and managed by the Virginia Department of Human Resource Management. After retirement, </w:t>
      </w:r>
      <w:r w:rsidR="00E97CC0" w:rsidRPr="00AD529E">
        <w:rPr>
          <w:rFonts w:cstheme="minorHAnsi"/>
          <w:highlight w:val="green"/>
        </w:rPr>
        <w:t>[insert agency name]</w:t>
      </w:r>
      <w:r w:rsidR="00E97CC0" w:rsidRPr="00AD529E">
        <w:rPr>
          <w:rFonts w:cstheme="minorHAnsi"/>
        </w:rPr>
        <w:t xml:space="preserve"> </w:t>
      </w:r>
      <w:r w:rsidRPr="00AD529E">
        <w:rPr>
          <w:rFonts w:eastAsia="Calibri" w:cstheme="minorHAnsi"/>
        </w:rPr>
        <w:t xml:space="preserve">no longer subsidizes the retiree’s premium; however, since both active employees and retirees are included in the same pool for purposes of determining health insurance rates, retiree rates are effectively lower than what might otherwise be available outside of this benefit. </w:t>
      </w:r>
    </w:p>
    <w:p w14:paraId="7D08E017" w14:textId="77777777" w:rsidR="00994EE3" w:rsidRDefault="00994EE3" w:rsidP="00765BF7">
      <w:pPr>
        <w:pStyle w:val="Default"/>
        <w:rPr>
          <w:b/>
          <w:bCs/>
          <w:sz w:val="20"/>
          <w:szCs w:val="20"/>
          <w:u w:val="single"/>
        </w:rPr>
      </w:pPr>
    </w:p>
    <w:p w14:paraId="7B7380BB" w14:textId="0E6CBFDB" w:rsidR="00765BF7" w:rsidRPr="00AD529E" w:rsidRDefault="00765BF7" w:rsidP="00AD529E">
      <w:pPr>
        <w:pStyle w:val="Default"/>
        <w:spacing w:afterLines="160" w:after="384" w:line="259" w:lineRule="auto"/>
        <w:jc w:val="both"/>
        <w:rPr>
          <w:rFonts w:asciiTheme="minorHAnsi" w:hAnsiTheme="minorHAnsi" w:cstheme="minorHAnsi"/>
          <w:b/>
          <w:bCs/>
          <w:sz w:val="22"/>
          <w:szCs w:val="22"/>
          <w:u w:val="single"/>
        </w:rPr>
      </w:pPr>
      <w:r w:rsidRPr="00AD529E">
        <w:rPr>
          <w:rFonts w:asciiTheme="minorHAnsi" w:hAnsiTheme="minorHAnsi" w:cstheme="minorHAnsi"/>
          <w:b/>
          <w:bCs/>
          <w:sz w:val="22"/>
          <w:szCs w:val="22"/>
          <w:u w:val="single"/>
        </w:rPr>
        <w:t xml:space="preserve">Pre-Medicare Retiree Healthcare </w:t>
      </w:r>
    </w:p>
    <w:p w14:paraId="07D9B0A4" w14:textId="77777777" w:rsidR="00AD529E" w:rsidRDefault="00765BF7" w:rsidP="00A84CE9">
      <w:pPr>
        <w:spacing w:afterLines="160" w:after="384" w:line="259" w:lineRule="auto"/>
        <w:rPr>
          <w:rFonts w:cstheme="minorHAnsi"/>
        </w:rPr>
      </w:pPr>
      <w:r w:rsidRPr="00AD529E">
        <w:rPr>
          <w:rFonts w:cstheme="minorHAnsi"/>
        </w:rPr>
        <w:t xml:space="preserve">The Commonwealth provides a healthcare plan established by Title 2.2, Chapter 28 of the </w:t>
      </w:r>
      <w:r w:rsidRPr="00AD529E">
        <w:rPr>
          <w:rFonts w:cstheme="minorHAnsi"/>
          <w:i/>
          <w:iCs/>
        </w:rPr>
        <w:t xml:space="preserve">Code of Virginia </w:t>
      </w:r>
      <w:r w:rsidRPr="00AD529E">
        <w:rPr>
          <w:rFonts w:cstheme="minorHAnsi"/>
        </w:rPr>
        <w:t xml:space="preserve">for retirees who are not yet eligible to participate in Medicare. </w:t>
      </w:r>
    </w:p>
    <w:p w14:paraId="3B8DFEAD" w14:textId="71E483D4" w:rsidR="009F7C84" w:rsidRDefault="002027AD" w:rsidP="00A84CE9">
      <w:pPr>
        <w:spacing w:after="0" w:line="259" w:lineRule="auto"/>
        <w:rPr>
          <w:rFonts w:cstheme="minorHAnsi"/>
        </w:rPr>
      </w:pPr>
      <w:r w:rsidRPr="00AD529E">
        <w:rPr>
          <w:rFonts w:cstheme="minorHAnsi"/>
        </w:rPr>
        <w:t>The following</w:t>
      </w:r>
      <w:r w:rsidR="009F7C84" w:rsidRPr="00AD529E">
        <w:rPr>
          <w:rFonts w:cstheme="minorHAnsi"/>
        </w:rPr>
        <w:t xml:space="preserve"> are eligibility requirements for Virginia Retirement System retirees: </w:t>
      </w:r>
    </w:p>
    <w:p w14:paraId="2E5E589B" w14:textId="77777777" w:rsidR="00AD529E" w:rsidRPr="00AD529E" w:rsidRDefault="00AD529E" w:rsidP="00AD529E">
      <w:pPr>
        <w:spacing w:after="0" w:line="259" w:lineRule="auto"/>
        <w:jc w:val="both"/>
        <w:rPr>
          <w:rFonts w:cstheme="minorHAnsi"/>
        </w:rPr>
      </w:pPr>
    </w:p>
    <w:p w14:paraId="516FF3E2" w14:textId="7920F70E" w:rsidR="009F7C84" w:rsidRPr="00AD529E" w:rsidRDefault="009F7C84" w:rsidP="00AD529E">
      <w:pPr>
        <w:pStyle w:val="ListParagraph"/>
        <w:numPr>
          <w:ilvl w:val="0"/>
          <w:numId w:val="12"/>
        </w:numPr>
        <w:spacing w:after="0" w:line="259" w:lineRule="auto"/>
        <w:jc w:val="both"/>
        <w:rPr>
          <w:rFonts w:cstheme="minorHAnsi"/>
        </w:rPr>
      </w:pPr>
      <w:r w:rsidRPr="00AD529E">
        <w:rPr>
          <w:rFonts w:cstheme="minorHAnsi"/>
        </w:rPr>
        <w:t xml:space="preserve">You are a </w:t>
      </w:r>
      <w:r w:rsidR="002027AD" w:rsidRPr="00AD529E">
        <w:rPr>
          <w:rFonts w:cstheme="minorHAnsi"/>
        </w:rPr>
        <w:t>retired</w:t>
      </w:r>
      <w:r w:rsidRPr="00AD529E">
        <w:rPr>
          <w:rFonts w:cstheme="minorHAnsi"/>
        </w:rPr>
        <w:t xml:space="preserve"> state employee who is eligible for a monthly retirement benefit from the Virginia Retirement System (VRS), and</w:t>
      </w:r>
    </w:p>
    <w:p w14:paraId="4EEC186A" w14:textId="0A7EE5E8" w:rsidR="009F7C84" w:rsidRPr="00AD529E" w:rsidRDefault="009F7C84" w:rsidP="00AD529E">
      <w:pPr>
        <w:pStyle w:val="ListParagraph"/>
        <w:numPr>
          <w:ilvl w:val="0"/>
          <w:numId w:val="12"/>
        </w:numPr>
        <w:spacing w:after="0" w:line="259" w:lineRule="auto"/>
        <w:jc w:val="both"/>
        <w:rPr>
          <w:rFonts w:cstheme="minorHAnsi"/>
        </w:rPr>
      </w:pPr>
      <w:r w:rsidRPr="00AD529E">
        <w:rPr>
          <w:rFonts w:cstheme="minorHAnsi"/>
        </w:rPr>
        <w:t xml:space="preserve">You start receiving (do not defer) your retirement </w:t>
      </w:r>
      <w:r w:rsidR="005F43D1" w:rsidRPr="00AD529E">
        <w:rPr>
          <w:rFonts w:cstheme="minorHAnsi"/>
        </w:rPr>
        <w:t>benefits</w:t>
      </w:r>
      <w:r w:rsidRPr="00AD529E">
        <w:rPr>
          <w:rFonts w:cstheme="minorHAnsi"/>
        </w:rPr>
        <w:t xml:space="preserve"> immediately upon retirement*, and</w:t>
      </w:r>
    </w:p>
    <w:p w14:paraId="52718940" w14:textId="77777777" w:rsidR="009F7C84" w:rsidRPr="00AD529E" w:rsidRDefault="009F7C84" w:rsidP="00AD529E">
      <w:pPr>
        <w:pStyle w:val="ListParagraph"/>
        <w:numPr>
          <w:ilvl w:val="0"/>
          <w:numId w:val="12"/>
        </w:numPr>
        <w:spacing w:after="0" w:line="259" w:lineRule="auto"/>
        <w:jc w:val="both"/>
        <w:rPr>
          <w:rFonts w:cstheme="minorHAnsi"/>
        </w:rPr>
      </w:pPr>
      <w:r w:rsidRPr="00AD529E">
        <w:rPr>
          <w:rFonts w:cstheme="minorHAnsi"/>
        </w:rPr>
        <w:t>Your last employer before retirement was the Commonwealth of Virginia, and</w:t>
      </w:r>
    </w:p>
    <w:p w14:paraId="68AB47EB" w14:textId="1EF1A3AD" w:rsidR="009F7C84" w:rsidRPr="00AD529E" w:rsidRDefault="009F7C84" w:rsidP="00AD529E">
      <w:pPr>
        <w:pStyle w:val="ListParagraph"/>
        <w:numPr>
          <w:ilvl w:val="0"/>
          <w:numId w:val="12"/>
        </w:numPr>
        <w:spacing w:after="0" w:line="259" w:lineRule="auto"/>
        <w:jc w:val="both"/>
        <w:rPr>
          <w:rFonts w:cstheme="minorHAnsi"/>
        </w:rPr>
      </w:pPr>
      <w:r w:rsidRPr="00AD529E">
        <w:rPr>
          <w:rFonts w:cstheme="minorHAnsi"/>
        </w:rPr>
        <w:t>You were eligible for (even if you were not enrolled</w:t>
      </w:r>
      <w:r w:rsidR="00F25D6F">
        <w:rPr>
          <w:rFonts w:cstheme="minorHAnsi"/>
        </w:rPr>
        <w:t xml:space="preserve"> in</w:t>
      </w:r>
      <w:r w:rsidRPr="00AD529E">
        <w:rPr>
          <w:rFonts w:cstheme="minorHAnsi"/>
        </w:rPr>
        <w:t>) coverage as an active employee in the State Health Benefits Program until your retirement date (not including Extended Coverage/COBRA), and</w:t>
      </w:r>
    </w:p>
    <w:p w14:paraId="0DF30340" w14:textId="7479FA9D" w:rsidR="009F7C84" w:rsidRDefault="009F7C84" w:rsidP="00AD529E">
      <w:pPr>
        <w:pStyle w:val="ListParagraph"/>
        <w:numPr>
          <w:ilvl w:val="0"/>
          <w:numId w:val="12"/>
        </w:numPr>
        <w:spacing w:after="0" w:line="259" w:lineRule="auto"/>
        <w:jc w:val="both"/>
        <w:rPr>
          <w:rFonts w:cstheme="minorHAnsi"/>
        </w:rPr>
      </w:pPr>
      <w:r w:rsidRPr="00AD529E">
        <w:rPr>
          <w:rFonts w:cstheme="minorHAnsi"/>
        </w:rPr>
        <w:t>You enroll no later than 31 days from your retirement date.</w:t>
      </w:r>
    </w:p>
    <w:p w14:paraId="06903DBE" w14:textId="77777777" w:rsidR="00AD529E" w:rsidRPr="00AD529E" w:rsidRDefault="00AD529E" w:rsidP="00AD529E">
      <w:pPr>
        <w:pStyle w:val="ListParagraph"/>
        <w:spacing w:after="0" w:line="259" w:lineRule="auto"/>
        <w:jc w:val="both"/>
        <w:rPr>
          <w:rFonts w:cstheme="minorHAnsi"/>
        </w:rPr>
      </w:pPr>
    </w:p>
    <w:p w14:paraId="3ED071E9" w14:textId="669D5A4B" w:rsidR="009F7C84" w:rsidRDefault="009F7C84" w:rsidP="00A84CE9">
      <w:pPr>
        <w:spacing w:after="0" w:line="259" w:lineRule="auto"/>
        <w:rPr>
          <w:rFonts w:cstheme="minorHAnsi"/>
        </w:rPr>
      </w:pPr>
      <w:r w:rsidRPr="00AD529E">
        <w:rPr>
          <w:rFonts w:cstheme="minorHAnsi"/>
        </w:rPr>
        <w:t>*For VRS retirees, this means that your employing agency reported a retirement contribution or leave without pay status for retirement in the month immediately prior to your retirement date. Some faculty members may also be eligible if they are paid on an alternate pay cycle but maintain eligibility for active coverage until their retirement date.</w:t>
      </w:r>
    </w:p>
    <w:p w14:paraId="3D9DD8E5" w14:textId="77777777" w:rsidR="00AD529E" w:rsidRPr="00AD529E" w:rsidRDefault="00AD529E" w:rsidP="00A84CE9">
      <w:pPr>
        <w:spacing w:after="0" w:line="259" w:lineRule="auto"/>
        <w:rPr>
          <w:rFonts w:cstheme="minorHAnsi"/>
        </w:rPr>
      </w:pPr>
    </w:p>
    <w:p w14:paraId="5DAED24E" w14:textId="77777777" w:rsidR="009F7C84" w:rsidRDefault="009F7C84" w:rsidP="009F7C84">
      <w:r>
        <w:t xml:space="preserve">Effective January 1, 2017**, following are eligibility requirements for Optional Retirement Plan retirees: </w:t>
      </w:r>
    </w:p>
    <w:p w14:paraId="16C6F24D" w14:textId="77777777" w:rsidR="009F7C84" w:rsidRDefault="009F7C84" w:rsidP="00AD529E">
      <w:pPr>
        <w:pStyle w:val="ListParagraph"/>
        <w:numPr>
          <w:ilvl w:val="0"/>
          <w:numId w:val="11"/>
        </w:numPr>
        <w:spacing w:after="160" w:line="259" w:lineRule="auto"/>
        <w:jc w:val="both"/>
      </w:pPr>
      <w:r w:rsidRPr="006436E2">
        <w:t>You are a terminating state employee who participates in one of the qualified Optional Retirement Plans, and</w:t>
      </w:r>
    </w:p>
    <w:p w14:paraId="694A2007" w14:textId="77777777" w:rsidR="009F7C84" w:rsidRDefault="009F7C84" w:rsidP="00AD529E">
      <w:pPr>
        <w:pStyle w:val="ListParagraph"/>
        <w:numPr>
          <w:ilvl w:val="0"/>
          <w:numId w:val="11"/>
        </w:numPr>
        <w:spacing w:after="160" w:line="259" w:lineRule="auto"/>
        <w:jc w:val="both"/>
      </w:pPr>
      <w:r>
        <w:t>Your last employer before termination was the Commonwealth of Virginia, and</w:t>
      </w:r>
    </w:p>
    <w:p w14:paraId="5BBBA540" w14:textId="357DF63B" w:rsidR="009F7C84" w:rsidRDefault="009F7C84" w:rsidP="00AD529E">
      <w:pPr>
        <w:pStyle w:val="ListParagraph"/>
        <w:numPr>
          <w:ilvl w:val="0"/>
          <w:numId w:val="11"/>
        </w:numPr>
        <w:spacing w:after="160" w:line="259" w:lineRule="auto"/>
        <w:jc w:val="both"/>
      </w:pPr>
      <w:r>
        <w:t>You were eligible for (even if you were not enrolled</w:t>
      </w:r>
      <w:r w:rsidR="00F25D6F">
        <w:t xml:space="preserve"> in</w:t>
      </w:r>
      <w:r>
        <w:t>) coverage in the State</w:t>
      </w:r>
      <w:r w:rsidRPr="006436E2">
        <w:t xml:space="preserve"> Employee Health Benefits Program for active employees at the time of your </w:t>
      </w:r>
      <w:r>
        <w:t>termination, and</w:t>
      </w:r>
    </w:p>
    <w:p w14:paraId="48BF79FE" w14:textId="77777777" w:rsidR="009F7C84" w:rsidRDefault="009F7C84" w:rsidP="00AD529E">
      <w:pPr>
        <w:pStyle w:val="ListParagraph"/>
        <w:numPr>
          <w:ilvl w:val="0"/>
          <w:numId w:val="11"/>
        </w:numPr>
        <w:spacing w:after="160" w:line="259" w:lineRule="auto"/>
        <w:jc w:val="both"/>
      </w:pPr>
      <w:r>
        <w:lastRenderedPageBreak/>
        <w:t>You meet the age and service requirements for an immediate retirement benefit</w:t>
      </w:r>
      <w:r w:rsidRPr="006436E2">
        <w:t xml:space="preserve"> under the non-ORP Virginia Retirement System plan that you would have been eligible for on your date of hire had you not elected the ORP</w:t>
      </w:r>
      <w:r>
        <w:t>, and</w:t>
      </w:r>
    </w:p>
    <w:p w14:paraId="74B7D4C5" w14:textId="77777777" w:rsidR="009F7C84" w:rsidRDefault="009F7C84" w:rsidP="00AD529E">
      <w:pPr>
        <w:pStyle w:val="ListParagraph"/>
        <w:numPr>
          <w:ilvl w:val="0"/>
          <w:numId w:val="10"/>
        </w:numPr>
        <w:spacing w:after="160" w:line="259" w:lineRule="auto"/>
        <w:jc w:val="both"/>
      </w:pPr>
      <w:r>
        <w:t>You enroll in the State Retiree Health Benefits Program no later than 31 days</w:t>
      </w:r>
      <w:r w:rsidRPr="006436E2">
        <w:t xml:space="preserve"> from the date you lose coverage (or lose eligibility for coverage) in the State Health Benefits Program for active employees due to your termination of employment.</w:t>
      </w:r>
    </w:p>
    <w:p w14:paraId="56E18131" w14:textId="242626C5" w:rsidR="00AD529E" w:rsidRDefault="009F7C84" w:rsidP="00A84CE9">
      <w:pPr>
        <w:spacing w:after="160" w:line="259" w:lineRule="auto"/>
      </w:pPr>
      <w:r>
        <w:t>**This change applies to ORP terminations effective January 1, 2017, or later. Eligibility for those who terminated employment prior to January 1 should be determined based on the policy in place at the time of their termination.</w:t>
      </w:r>
    </w:p>
    <w:p w14:paraId="2912BB98" w14:textId="692D79B1" w:rsidR="00AD529E" w:rsidRPr="00AD529E" w:rsidRDefault="00253EAD" w:rsidP="00A84CE9">
      <w:pPr>
        <w:pStyle w:val="Default"/>
        <w:spacing w:after="160" w:line="259" w:lineRule="auto"/>
        <w:rPr>
          <w:rFonts w:asciiTheme="minorHAnsi" w:hAnsiTheme="minorHAnsi" w:cstheme="minorHAnsi"/>
          <w:sz w:val="22"/>
          <w:szCs w:val="22"/>
        </w:rPr>
      </w:pPr>
      <w:r w:rsidRPr="00AD529E">
        <w:rPr>
          <w:rFonts w:asciiTheme="minorHAnsi" w:hAnsiTheme="minorHAnsi" w:cstheme="minorHAnsi"/>
          <w:sz w:val="22"/>
          <w:szCs w:val="22"/>
        </w:rPr>
        <w:t xml:space="preserve">The employer does not pay a portion of the retirees’ healthcare premium; however, since both active employees and retirees are included in the same pool for purposes of determining health insurance rates, this generally results in a higher rate for active employees. Therefore, the employer effectively subsidizes the costs of </w:t>
      </w:r>
      <w:r w:rsidR="002027AD" w:rsidRPr="00AD529E">
        <w:rPr>
          <w:rFonts w:asciiTheme="minorHAnsi" w:hAnsiTheme="minorHAnsi" w:cstheme="minorHAnsi"/>
          <w:sz w:val="22"/>
          <w:szCs w:val="22"/>
        </w:rPr>
        <w:t>participating in</w:t>
      </w:r>
      <w:r w:rsidRPr="00AD529E">
        <w:rPr>
          <w:rFonts w:asciiTheme="minorHAnsi" w:hAnsiTheme="minorHAnsi" w:cstheme="minorHAnsi"/>
          <w:sz w:val="22"/>
          <w:szCs w:val="22"/>
        </w:rPr>
        <w:t xml:space="preserve"> retirees’ healthcare through payment of the employer’s portion of the premiums for active employees.</w:t>
      </w:r>
    </w:p>
    <w:p w14:paraId="7B7380C4" w14:textId="378F579F" w:rsidR="00765BF7" w:rsidRPr="00AD529E" w:rsidRDefault="00765BF7" w:rsidP="00A84CE9">
      <w:pPr>
        <w:spacing w:after="160" w:line="259" w:lineRule="auto"/>
        <w:rPr>
          <w:rFonts w:cstheme="minorHAnsi"/>
        </w:rPr>
      </w:pPr>
      <w:r w:rsidRPr="00AD529E">
        <w:rPr>
          <w:rFonts w:cstheme="minorHAnsi"/>
        </w:rPr>
        <w:t>This fund is reported as part of the Commonwealth’s Healthcare Internal Service Fund.</w:t>
      </w:r>
      <w:r w:rsidR="00253EAD" w:rsidRPr="00AD529E">
        <w:rPr>
          <w:rFonts w:cstheme="minorHAnsi"/>
        </w:rPr>
        <w:t xml:space="preserve"> Benefit payments are recognized when due and payable in accordance with the benefit terms.</w:t>
      </w:r>
      <w:r w:rsidRPr="00AD529E">
        <w:rPr>
          <w:rFonts w:cstheme="minorHAnsi"/>
        </w:rPr>
        <w:t xml:space="preserve"> Pre-Medicare Retiree Healthcare is a single-</w:t>
      </w:r>
      <w:proofErr w:type="gramStart"/>
      <w:r w:rsidRPr="00AD529E">
        <w:rPr>
          <w:rFonts w:cstheme="minorHAnsi"/>
        </w:rPr>
        <w:t>employer</w:t>
      </w:r>
      <w:proofErr w:type="gramEnd"/>
      <w:r w:rsidRPr="00AD529E">
        <w:rPr>
          <w:rFonts w:cstheme="minorHAnsi"/>
        </w:rPr>
        <w:t xml:space="preserve"> defined benefit OPEB plan </w:t>
      </w:r>
      <w:r w:rsidR="00DA04B2" w:rsidRPr="00AD529E">
        <w:rPr>
          <w:rFonts w:cstheme="minorHAnsi"/>
        </w:rPr>
        <w:t xml:space="preserve">that is treated like a cost-sharing plan for financial reporting purposes </w:t>
      </w:r>
      <w:r w:rsidRPr="00AD529E">
        <w:rPr>
          <w:rFonts w:cstheme="minorHAnsi"/>
        </w:rPr>
        <w:t xml:space="preserve">and is administered by the Department of Human Resource Management. </w:t>
      </w:r>
      <w:r w:rsidRPr="008A7AA0">
        <w:rPr>
          <w:rFonts w:cstheme="minorHAnsi"/>
        </w:rPr>
        <w:t xml:space="preserve">There were approximately </w:t>
      </w:r>
      <w:r w:rsidR="008A7AA0" w:rsidRPr="00AC2C43">
        <w:rPr>
          <w:rFonts w:cstheme="minorHAnsi"/>
        </w:rPr>
        <w:t>3,</w:t>
      </w:r>
      <w:r w:rsidR="00AC2C43">
        <w:rPr>
          <w:rFonts w:cstheme="minorHAnsi"/>
        </w:rPr>
        <w:t>235</w:t>
      </w:r>
      <w:r w:rsidR="00A8746E" w:rsidRPr="003E6273">
        <w:rPr>
          <w:rFonts w:cstheme="minorHAnsi"/>
        </w:rPr>
        <w:t xml:space="preserve"> </w:t>
      </w:r>
      <w:r w:rsidRPr="003E6273">
        <w:rPr>
          <w:rFonts w:cstheme="minorHAnsi"/>
        </w:rPr>
        <w:t xml:space="preserve">retirees </w:t>
      </w:r>
      <w:r w:rsidR="00467768" w:rsidRPr="00295242">
        <w:rPr>
          <w:rFonts w:cstheme="minorHAnsi"/>
        </w:rPr>
        <w:t>and</w:t>
      </w:r>
      <w:r w:rsidR="0054296F" w:rsidRPr="00295242">
        <w:rPr>
          <w:rFonts w:cstheme="minorHAnsi"/>
        </w:rPr>
        <w:t xml:space="preserve"> </w:t>
      </w:r>
      <w:r w:rsidR="00F20ECE" w:rsidRPr="00295242">
        <w:rPr>
          <w:rFonts w:cstheme="minorHAnsi"/>
        </w:rPr>
        <w:t>9</w:t>
      </w:r>
      <w:r w:rsidR="00295242">
        <w:rPr>
          <w:rFonts w:cstheme="minorHAnsi"/>
        </w:rPr>
        <w:t>6</w:t>
      </w:r>
      <w:r w:rsidR="00F20ECE" w:rsidRPr="00295242">
        <w:rPr>
          <w:rFonts w:cstheme="minorHAnsi"/>
        </w:rPr>
        <w:t>,</w:t>
      </w:r>
      <w:r w:rsidR="00295242">
        <w:rPr>
          <w:rFonts w:cstheme="minorHAnsi"/>
        </w:rPr>
        <w:t>895</w:t>
      </w:r>
      <w:r w:rsidR="00A8746E" w:rsidRPr="008A7AA0">
        <w:rPr>
          <w:rFonts w:cstheme="minorHAnsi"/>
        </w:rPr>
        <w:t xml:space="preserve"> </w:t>
      </w:r>
      <w:r w:rsidR="00467768" w:rsidRPr="008A7AA0">
        <w:rPr>
          <w:rFonts w:cstheme="minorHAnsi"/>
        </w:rPr>
        <w:t>active</w:t>
      </w:r>
      <w:r w:rsidR="00B93F94" w:rsidRPr="008A7AA0">
        <w:rPr>
          <w:rFonts w:cstheme="minorHAnsi"/>
        </w:rPr>
        <w:t xml:space="preserve"> employee</w:t>
      </w:r>
      <w:r w:rsidR="00467768" w:rsidRPr="008A7AA0">
        <w:rPr>
          <w:rFonts w:cstheme="minorHAnsi"/>
        </w:rPr>
        <w:t>s i</w:t>
      </w:r>
      <w:r w:rsidRPr="008A7AA0">
        <w:rPr>
          <w:rFonts w:cstheme="minorHAnsi"/>
        </w:rPr>
        <w:t xml:space="preserve">n the program </w:t>
      </w:r>
      <w:r w:rsidR="00456043" w:rsidRPr="008A7AA0">
        <w:rPr>
          <w:rFonts w:cstheme="minorHAnsi"/>
        </w:rPr>
        <w:t>as of June 30,</w:t>
      </w:r>
      <w:r w:rsidRPr="008A7AA0">
        <w:rPr>
          <w:rFonts w:cstheme="minorHAnsi"/>
        </w:rPr>
        <w:t xml:space="preserve"> </w:t>
      </w:r>
      <w:r w:rsidR="00AB1D0A" w:rsidRPr="008A7AA0">
        <w:rPr>
          <w:rFonts w:cstheme="minorHAnsi"/>
        </w:rPr>
        <w:t>202</w:t>
      </w:r>
      <w:r w:rsidR="00E536E3">
        <w:rPr>
          <w:rFonts w:cstheme="minorHAnsi"/>
        </w:rPr>
        <w:t>4</w:t>
      </w:r>
      <w:r w:rsidRPr="008A7AA0">
        <w:rPr>
          <w:rFonts w:cstheme="minorHAnsi"/>
        </w:rPr>
        <w:t>.</w:t>
      </w:r>
      <w:r w:rsidR="00B93F94" w:rsidRPr="008A7AA0">
        <w:rPr>
          <w:rFonts w:cstheme="minorHAnsi"/>
        </w:rPr>
        <w:t xml:space="preserve">  There are</w:t>
      </w:r>
      <w:r w:rsidR="00B93F94" w:rsidRPr="00AD529E">
        <w:rPr>
          <w:rFonts w:cstheme="minorHAnsi"/>
        </w:rPr>
        <w:t xml:space="preserve"> no inactive employees entitled to future benefits who are not currently receiving benefits.  There are no assets accumulated in a trust to pay benefits.</w:t>
      </w:r>
    </w:p>
    <w:p w14:paraId="7B7380D5" w14:textId="42F3935B" w:rsidR="00542A33" w:rsidRPr="00C3101C" w:rsidRDefault="00542A33" w:rsidP="00DA04B2">
      <w:pPr>
        <w:pStyle w:val="TableColumnHead"/>
        <w:tabs>
          <w:tab w:val="right" w:pos="7200"/>
          <w:tab w:val="right" w:pos="9270"/>
        </w:tabs>
        <w:spacing w:after="0" w:line="259" w:lineRule="auto"/>
      </w:pPr>
      <w:r w:rsidRPr="00C3101C">
        <w:tab/>
      </w:r>
    </w:p>
    <w:p w14:paraId="6EC97539" w14:textId="2161D088" w:rsidR="00B46C43" w:rsidRPr="00AD529E" w:rsidRDefault="00AB6984" w:rsidP="00DA04B2">
      <w:pPr>
        <w:spacing w:after="0" w:line="259" w:lineRule="auto"/>
        <w:rPr>
          <w:rFonts w:cstheme="minorHAnsi"/>
          <w:b/>
          <w:bCs/>
          <w:u w:val="single"/>
        </w:rPr>
      </w:pPr>
      <w:r w:rsidRPr="00AD529E">
        <w:rPr>
          <w:rFonts w:cstheme="minorHAnsi"/>
          <w:b/>
          <w:bCs/>
          <w:u w:val="single"/>
        </w:rPr>
        <w:t>Actuarial Assumptions and Methods</w:t>
      </w:r>
    </w:p>
    <w:p w14:paraId="4089BF68" w14:textId="77777777" w:rsidR="000436F5" w:rsidRPr="00AD529E" w:rsidRDefault="000436F5" w:rsidP="00DA04B2">
      <w:pPr>
        <w:spacing w:after="0" w:line="259" w:lineRule="auto"/>
        <w:rPr>
          <w:rFonts w:cstheme="minorHAnsi"/>
          <w:b/>
          <w:bCs/>
          <w:u w:val="single"/>
        </w:rPr>
      </w:pPr>
    </w:p>
    <w:p w14:paraId="7B7380D9" w14:textId="4B8FDFFA" w:rsidR="00D44396" w:rsidRPr="00AD529E" w:rsidRDefault="00DA04B2" w:rsidP="00A84CE9">
      <w:pPr>
        <w:pStyle w:val="Default"/>
        <w:spacing w:after="160" w:line="259" w:lineRule="auto"/>
        <w:rPr>
          <w:rFonts w:asciiTheme="minorHAnsi" w:hAnsiTheme="minorHAnsi" w:cstheme="minorHAnsi"/>
          <w:sz w:val="22"/>
          <w:szCs w:val="22"/>
        </w:rPr>
      </w:pPr>
      <w:r w:rsidRPr="00AD529E">
        <w:rPr>
          <w:rFonts w:asciiTheme="minorHAnsi" w:hAnsiTheme="minorHAnsi" w:cstheme="minorHAnsi"/>
          <w:sz w:val="22"/>
          <w:szCs w:val="22"/>
        </w:rPr>
        <w:t xml:space="preserve">The total Pre-Medicare Retiree Healthcare OPEB liability was based on an actuarial valuation with a valuation date of June 30, </w:t>
      </w:r>
      <w:r w:rsidR="00AB1D0A" w:rsidRPr="00AD529E">
        <w:rPr>
          <w:rFonts w:asciiTheme="minorHAnsi" w:hAnsiTheme="minorHAnsi" w:cstheme="minorHAnsi"/>
          <w:sz w:val="22"/>
          <w:szCs w:val="22"/>
        </w:rPr>
        <w:t>20</w:t>
      </w:r>
      <w:r w:rsidR="00AB1D0A">
        <w:rPr>
          <w:rFonts w:asciiTheme="minorHAnsi" w:hAnsiTheme="minorHAnsi" w:cstheme="minorHAnsi"/>
          <w:sz w:val="22"/>
          <w:szCs w:val="22"/>
        </w:rPr>
        <w:t>2</w:t>
      </w:r>
      <w:r w:rsidR="00083959">
        <w:rPr>
          <w:rFonts w:asciiTheme="minorHAnsi" w:hAnsiTheme="minorHAnsi" w:cstheme="minorHAnsi"/>
          <w:sz w:val="22"/>
          <w:szCs w:val="22"/>
        </w:rPr>
        <w:t>4</w:t>
      </w:r>
      <w:r w:rsidR="00A34922">
        <w:rPr>
          <w:rFonts w:asciiTheme="minorHAnsi" w:hAnsiTheme="minorHAnsi" w:cstheme="minorHAnsi"/>
          <w:sz w:val="22"/>
          <w:szCs w:val="22"/>
        </w:rPr>
        <w:t xml:space="preserve"> (one year prior to the end of the fiscal year</w:t>
      </w:r>
      <w:r w:rsidR="00E62DE6">
        <w:rPr>
          <w:rFonts w:asciiTheme="minorHAnsi" w:hAnsiTheme="minorHAnsi" w:cstheme="minorHAnsi"/>
          <w:sz w:val="22"/>
          <w:szCs w:val="22"/>
        </w:rPr>
        <w:t>)</w:t>
      </w:r>
      <w:r w:rsidRPr="00AD529E">
        <w:rPr>
          <w:rFonts w:asciiTheme="minorHAnsi" w:hAnsiTheme="minorHAnsi" w:cstheme="minorHAnsi"/>
          <w:sz w:val="22"/>
          <w:szCs w:val="22"/>
        </w:rPr>
        <w:t>.  The Department of Human Resource Management selected the economic, demographic and healthcare claim cost assumptions</w:t>
      </w:r>
      <w:r w:rsidR="00B5589B" w:rsidRPr="00AD529E">
        <w:rPr>
          <w:rFonts w:asciiTheme="minorHAnsi" w:hAnsiTheme="minorHAnsi" w:cstheme="minorHAnsi"/>
          <w:sz w:val="22"/>
          <w:szCs w:val="22"/>
        </w:rPr>
        <w:t xml:space="preserve">.  The </w:t>
      </w:r>
      <w:proofErr w:type="gramStart"/>
      <w:r w:rsidR="00B5589B" w:rsidRPr="00AD529E">
        <w:rPr>
          <w:rFonts w:asciiTheme="minorHAnsi" w:hAnsiTheme="minorHAnsi" w:cstheme="minorHAnsi"/>
          <w:sz w:val="22"/>
          <w:szCs w:val="22"/>
        </w:rPr>
        <w:t>actuary</w:t>
      </w:r>
      <w:proofErr w:type="gramEnd"/>
      <w:r w:rsidR="00B5589B" w:rsidRPr="00AD529E">
        <w:rPr>
          <w:rFonts w:asciiTheme="minorHAnsi" w:hAnsiTheme="minorHAnsi" w:cstheme="minorHAnsi"/>
          <w:sz w:val="22"/>
          <w:szCs w:val="22"/>
        </w:rPr>
        <w:t xml:space="preserve"> provided guidance with respect to these assumptions.  </w:t>
      </w:r>
      <w:r w:rsidR="00D44396" w:rsidRPr="00AD529E">
        <w:rPr>
          <w:rFonts w:asciiTheme="minorHAnsi" w:hAnsiTheme="minorHAnsi" w:cstheme="minorHAnsi"/>
          <w:sz w:val="22"/>
          <w:szCs w:val="22"/>
        </w:rPr>
        <w:t xml:space="preserve">Initial healthcare costs trend rates used were </w:t>
      </w:r>
      <w:r w:rsidR="00945993">
        <w:rPr>
          <w:rFonts w:asciiTheme="minorHAnsi" w:hAnsiTheme="minorHAnsi" w:cstheme="minorHAnsi"/>
          <w:sz w:val="22"/>
          <w:szCs w:val="22"/>
        </w:rPr>
        <w:t>7.</w:t>
      </w:r>
      <w:r w:rsidR="00244B6A">
        <w:rPr>
          <w:rFonts w:asciiTheme="minorHAnsi" w:hAnsiTheme="minorHAnsi" w:cstheme="minorHAnsi"/>
          <w:sz w:val="22"/>
          <w:szCs w:val="22"/>
        </w:rPr>
        <w:t>50</w:t>
      </w:r>
      <w:r w:rsidR="00D44396" w:rsidRPr="003E6273">
        <w:rPr>
          <w:rFonts w:asciiTheme="minorHAnsi" w:hAnsiTheme="minorHAnsi" w:cstheme="minorHAnsi"/>
          <w:sz w:val="22"/>
          <w:szCs w:val="22"/>
        </w:rPr>
        <w:t xml:space="preserve"> percent</w:t>
      </w:r>
      <w:r w:rsidR="0059756C" w:rsidRPr="003E6273">
        <w:rPr>
          <w:rFonts w:asciiTheme="minorHAnsi" w:hAnsiTheme="minorHAnsi" w:cstheme="minorHAnsi"/>
          <w:sz w:val="22"/>
          <w:szCs w:val="22"/>
        </w:rPr>
        <w:t xml:space="preserve"> for medical and pharmacy and 4</w:t>
      </w:r>
      <w:r w:rsidR="00D44396" w:rsidRPr="003E6273">
        <w:rPr>
          <w:rFonts w:asciiTheme="minorHAnsi" w:hAnsiTheme="minorHAnsi" w:cstheme="minorHAnsi"/>
          <w:sz w:val="22"/>
          <w:szCs w:val="22"/>
        </w:rPr>
        <w:t>.0</w:t>
      </w:r>
      <w:r w:rsidR="00981D3D" w:rsidRPr="003E6273">
        <w:rPr>
          <w:rFonts w:asciiTheme="minorHAnsi" w:hAnsiTheme="minorHAnsi" w:cstheme="minorHAnsi"/>
          <w:sz w:val="22"/>
          <w:szCs w:val="22"/>
        </w:rPr>
        <w:t>0</w:t>
      </w:r>
      <w:r w:rsidR="00D44396" w:rsidRPr="003E6273">
        <w:rPr>
          <w:rFonts w:asciiTheme="minorHAnsi" w:hAnsiTheme="minorHAnsi" w:cstheme="minorHAnsi"/>
          <w:sz w:val="22"/>
          <w:szCs w:val="22"/>
        </w:rPr>
        <w:t xml:space="preserve"> percent for </w:t>
      </w:r>
      <w:proofErr w:type="gramStart"/>
      <w:r w:rsidR="0059756C" w:rsidRPr="003E6273">
        <w:rPr>
          <w:rFonts w:asciiTheme="minorHAnsi" w:hAnsiTheme="minorHAnsi" w:cstheme="minorHAnsi"/>
          <w:sz w:val="22"/>
          <w:szCs w:val="22"/>
        </w:rPr>
        <w:t>dental</w:t>
      </w:r>
      <w:proofErr w:type="gramEnd"/>
      <w:r w:rsidR="00D44396" w:rsidRPr="003E6273">
        <w:rPr>
          <w:rFonts w:asciiTheme="minorHAnsi" w:hAnsiTheme="minorHAnsi" w:cstheme="minorHAnsi"/>
          <w:sz w:val="22"/>
          <w:szCs w:val="22"/>
        </w:rPr>
        <w:t xml:space="preserve">. The ultimate trend rates used were </w:t>
      </w:r>
      <w:r w:rsidR="00A8746E" w:rsidRPr="003E6273">
        <w:rPr>
          <w:rFonts w:asciiTheme="minorHAnsi" w:hAnsiTheme="minorHAnsi" w:cstheme="minorHAnsi"/>
          <w:sz w:val="22"/>
          <w:szCs w:val="22"/>
        </w:rPr>
        <w:t>4.5</w:t>
      </w:r>
      <w:r w:rsidR="00306456" w:rsidRPr="003E6273">
        <w:rPr>
          <w:rFonts w:asciiTheme="minorHAnsi" w:hAnsiTheme="minorHAnsi" w:cstheme="minorHAnsi"/>
          <w:sz w:val="22"/>
          <w:szCs w:val="22"/>
        </w:rPr>
        <w:t>0</w:t>
      </w:r>
      <w:r w:rsidR="00A8746E" w:rsidRPr="003E6273">
        <w:rPr>
          <w:rFonts w:asciiTheme="minorHAnsi" w:hAnsiTheme="minorHAnsi" w:cstheme="minorHAnsi"/>
          <w:sz w:val="22"/>
          <w:szCs w:val="22"/>
        </w:rPr>
        <w:t xml:space="preserve"> </w:t>
      </w:r>
      <w:r w:rsidR="00D44396" w:rsidRPr="003E6273">
        <w:rPr>
          <w:rFonts w:asciiTheme="minorHAnsi" w:hAnsiTheme="minorHAnsi" w:cstheme="minorHAnsi"/>
          <w:sz w:val="22"/>
          <w:szCs w:val="22"/>
        </w:rPr>
        <w:t>percent</w:t>
      </w:r>
      <w:r w:rsidR="0059756C" w:rsidRPr="003E6273">
        <w:rPr>
          <w:rFonts w:asciiTheme="minorHAnsi" w:hAnsiTheme="minorHAnsi" w:cstheme="minorHAnsi"/>
          <w:sz w:val="22"/>
          <w:szCs w:val="22"/>
        </w:rPr>
        <w:t xml:space="preserve"> for medical and pharmacy and</w:t>
      </w:r>
      <w:r w:rsidR="00D44396" w:rsidRPr="003E6273">
        <w:rPr>
          <w:rFonts w:asciiTheme="minorHAnsi" w:hAnsiTheme="minorHAnsi" w:cstheme="minorHAnsi"/>
          <w:sz w:val="22"/>
          <w:szCs w:val="22"/>
        </w:rPr>
        <w:t xml:space="preserve"> 4.0</w:t>
      </w:r>
      <w:r w:rsidR="00981D3D" w:rsidRPr="003E6273">
        <w:rPr>
          <w:rFonts w:asciiTheme="minorHAnsi" w:hAnsiTheme="minorHAnsi" w:cstheme="minorHAnsi"/>
          <w:sz w:val="22"/>
          <w:szCs w:val="22"/>
        </w:rPr>
        <w:t>0</w:t>
      </w:r>
      <w:r w:rsidR="00D44396" w:rsidRPr="003E6273">
        <w:rPr>
          <w:rFonts w:asciiTheme="minorHAnsi" w:hAnsiTheme="minorHAnsi" w:cstheme="minorHAnsi"/>
          <w:sz w:val="22"/>
          <w:szCs w:val="22"/>
        </w:rPr>
        <w:t xml:space="preserve"> percent for </w:t>
      </w:r>
      <w:r w:rsidR="0059756C" w:rsidRPr="003E6273">
        <w:rPr>
          <w:rFonts w:asciiTheme="minorHAnsi" w:hAnsiTheme="minorHAnsi" w:cstheme="minorHAnsi"/>
          <w:sz w:val="22"/>
          <w:szCs w:val="22"/>
        </w:rPr>
        <w:t>dental</w:t>
      </w:r>
      <w:r w:rsidR="00D44396" w:rsidRPr="003E6273">
        <w:rPr>
          <w:rFonts w:asciiTheme="minorHAnsi" w:hAnsiTheme="minorHAnsi" w:cstheme="minorHAnsi"/>
          <w:sz w:val="22"/>
          <w:szCs w:val="22"/>
        </w:rPr>
        <w:t>.</w:t>
      </w:r>
    </w:p>
    <w:p w14:paraId="7B7380DB" w14:textId="77777777" w:rsidR="003C55BA" w:rsidRPr="00C3101C" w:rsidRDefault="003C55BA" w:rsidP="00D44396">
      <w:pPr>
        <w:pStyle w:val="Default"/>
        <w:rPr>
          <w:b/>
          <w:bCs/>
          <w:sz w:val="20"/>
          <w:szCs w:val="20"/>
        </w:rPr>
      </w:pPr>
    </w:p>
    <w:p w14:paraId="7B7380DC" w14:textId="6A0C6284" w:rsidR="003C55BA" w:rsidRPr="00C3101C" w:rsidRDefault="003C55BA" w:rsidP="00D44396">
      <w:pPr>
        <w:pStyle w:val="Default"/>
        <w:rPr>
          <w:b/>
          <w:bCs/>
          <w:sz w:val="20"/>
          <w:szCs w:val="20"/>
          <w:u w:val="double"/>
        </w:rPr>
      </w:pPr>
    </w:p>
    <w:tbl>
      <w:tblPr>
        <w:tblW w:w="8946" w:type="dxa"/>
        <w:tblLook w:val="01E0" w:firstRow="1" w:lastRow="1" w:firstColumn="1" w:lastColumn="1" w:noHBand="0" w:noVBand="0"/>
      </w:tblPr>
      <w:tblGrid>
        <w:gridCol w:w="3168"/>
        <w:gridCol w:w="5778"/>
      </w:tblGrid>
      <w:tr w:rsidR="00E373A1" w:rsidRPr="00C3101C" w14:paraId="7B7380DF" w14:textId="77777777" w:rsidTr="003C55BA">
        <w:tc>
          <w:tcPr>
            <w:tcW w:w="3168" w:type="dxa"/>
            <w:hideMark/>
          </w:tcPr>
          <w:p w14:paraId="7B7380DD" w14:textId="77777777" w:rsidR="00E373A1" w:rsidRPr="00AD529E" w:rsidRDefault="00E373A1" w:rsidP="00E373A1">
            <w:pPr>
              <w:rPr>
                <w:rFonts w:cstheme="minorHAnsi"/>
              </w:rPr>
            </w:pPr>
            <w:r w:rsidRPr="00AD529E">
              <w:rPr>
                <w:rFonts w:cstheme="minorHAnsi"/>
                <w:bCs/>
              </w:rPr>
              <w:t>Valuation Date</w:t>
            </w:r>
            <w:r w:rsidRPr="00AD529E">
              <w:rPr>
                <w:rFonts w:cstheme="minorHAnsi"/>
                <w:bCs/>
              </w:rPr>
              <w:tab/>
            </w:r>
          </w:p>
        </w:tc>
        <w:tc>
          <w:tcPr>
            <w:tcW w:w="5778" w:type="dxa"/>
            <w:hideMark/>
          </w:tcPr>
          <w:p w14:paraId="7B7380DE" w14:textId="5A492763" w:rsidR="00E373A1" w:rsidRPr="00AD529E" w:rsidRDefault="00C65F1E" w:rsidP="00B5589B">
            <w:pPr>
              <w:rPr>
                <w:rFonts w:cstheme="minorHAnsi"/>
              </w:rPr>
            </w:pPr>
            <w:r w:rsidRPr="00AD529E">
              <w:rPr>
                <w:rFonts w:cstheme="minorHAnsi"/>
              </w:rPr>
              <w:t xml:space="preserve">Actuarially determined contribution rates are calculated as of </w:t>
            </w:r>
            <w:r w:rsidR="00B5589B" w:rsidRPr="00AD529E">
              <w:rPr>
                <w:rFonts w:cstheme="minorHAnsi"/>
              </w:rPr>
              <w:t>June 30</w:t>
            </w:r>
            <w:r w:rsidR="00AB6984" w:rsidRPr="00AD529E">
              <w:rPr>
                <w:rFonts w:cstheme="minorHAnsi"/>
              </w:rPr>
              <w:t xml:space="preserve">, </w:t>
            </w:r>
            <w:r w:rsidRPr="00AD529E">
              <w:rPr>
                <w:rFonts w:cstheme="minorHAnsi"/>
              </w:rPr>
              <w:t>one year prior to the end of the fiscal year in which contributions are reported.</w:t>
            </w:r>
          </w:p>
        </w:tc>
      </w:tr>
      <w:tr w:rsidR="002230B2" w:rsidRPr="00C3101C" w14:paraId="7B7380E2" w14:textId="77777777" w:rsidTr="003C55BA">
        <w:tc>
          <w:tcPr>
            <w:tcW w:w="3168" w:type="dxa"/>
          </w:tcPr>
          <w:p w14:paraId="7B7380E0" w14:textId="77777777" w:rsidR="002230B2" w:rsidRPr="00AD529E" w:rsidRDefault="002230B2" w:rsidP="00E373A1">
            <w:pPr>
              <w:rPr>
                <w:rFonts w:cstheme="minorHAnsi"/>
                <w:bCs/>
              </w:rPr>
            </w:pPr>
            <w:r w:rsidRPr="00AD529E">
              <w:rPr>
                <w:rFonts w:cstheme="minorHAnsi"/>
                <w:bCs/>
              </w:rPr>
              <w:t>Measurement Date</w:t>
            </w:r>
          </w:p>
        </w:tc>
        <w:tc>
          <w:tcPr>
            <w:tcW w:w="5778" w:type="dxa"/>
            <w:vAlign w:val="bottom"/>
          </w:tcPr>
          <w:p w14:paraId="7B7380E1" w14:textId="6438D670" w:rsidR="002230B2" w:rsidRPr="00AD529E" w:rsidRDefault="002230B2" w:rsidP="00AB1D0A">
            <w:pPr>
              <w:rPr>
                <w:rFonts w:cstheme="minorHAnsi"/>
              </w:rPr>
            </w:pPr>
            <w:r w:rsidRPr="00AD529E">
              <w:rPr>
                <w:rFonts w:cstheme="minorHAnsi"/>
              </w:rPr>
              <w:t xml:space="preserve">June 30, </w:t>
            </w:r>
            <w:r w:rsidR="00AB1D0A" w:rsidRPr="00AD529E">
              <w:rPr>
                <w:rFonts w:cstheme="minorHAnsi"/>
              </w:rPr>
              <w:t>20</w:t>
            </w:r>
            <w:r w:rsidR="00AB1D0A">
              <w:rPr>
                <w:rFonts w:cstheme="minorHAnsi"/>
              </w:rPr>
              <w:t>2</w:t>
            </w:r>
            <w:r w:rsidR="00877E39">
              <w:rPr>
                <w:rFonts w:cstheme="minorHAnsi"/>
              </w:rPr>
              <w:t>4</w:t>
            </w:r>
            <w:r w:rsidR="00AB1D0A" w:rsidRPr="00AD529E">
              <w:rPr>
                <w:rFonts w:cstheme="minorHAnsi"/>
              </w:rPr>
              <w:t xml:space="preserve"> </w:t>
            </w:r>
            <w:r w:rsidRPr="00AD529E">
              <w:rPr>
                <w:rFonts w:cstheme="minorHAnsi"/>
              </w:rPr>
              <w:t>(one year prior to the end of the fiscal year)</w:t>
            </w:r>
          </w:p>
        </w:tc>
      </w:tr>
      <w:tr w:rsidR="00E373A1" w:rsidRPr="00C3101C" w14:paraId="7B7380E5" w14:textId="77777777" w:rsidTr="003C55BA">
        <w:tc>
          <w:tcPr>
            <w:tcW w:w="3168" w:type="dxa"/>
          </w:tcPr>
          <w:p w14:paraId="7B7380E3" w14:textId="77777777" w:rsidR="00E373A1" w:rsidRPr="00AD529E" w:rsidRDefault="00E373A1" w:rsidP="00E373A1">
            <w:pPr>
              <w:rPr>
                <w:rFonts w:cstheme="minorHAnsi"/>
              </w:rPr>
            </w:pPr>
            <w:r w:rsidRPr="00AD529E">
              <w:rPr>
                <w:rFonts w:cstheme="minorHAnsi"/>
                <w:bCs/>
              </w:rPr>
              <w:t>Actuarial Cost Method</w:t>
            </w:r>
          </w:p>
        </w:tc>
        <w:tc>
          <w:tcPr>
            <w:tcW w:w="5778" w:type="dxa"/>
            <w:vAlign w:val="bottom"/>
          </w:tcPr>
          <w:p w14:paraId="7B7380E4" w14:textId="77777777" w:rsidR="00E373A1" w:rsidRPr="00AD529E" w:rsidRDefault="00E373A1" w:rsidP="00E373A1">
            <w:pPr>
              <w:rPr>
                <w:rFonts w:cstheme="minorHAnsi"/>
              </w:rPr>
            </w:pPr>
            <w:r w:rsidRPr="00AD529E">
              <w:rPr>
                <w:rFonts w:cstheme="minorHAnsi"/>
              </w:rPr>
              <w:t>Entry Age Normal</w:t>
            </w:r>
          </w:p>
        </w:tc>
      </w:tr>
      <w:tr w:rsidR="00E373A1" w:rsidRPr="00C3101C" w14:paraId="7B7380E8" w14:textId="77777777" w:rsidTr="003C55BA">
        <w:tc>
          <w:tcPr>
            <w:tcW w:w="3168" w:type="dxa"/>
          </w:tcPr>
          <w:p w14:paraId="7B7380E6" w14:textId="77777777" w:rsidR="00E373A1" w:rsidRPr="00AD529E" w:rsidRDefault="00E373A1" w:rsidP="00E373A1">
            <w:pPr>
              <w:rPr>
                <w:rFonts w:cstheme="minorHAnsi"/>
                <w:bCs/>
              </w:rPr>
            </w:pPr>
            <w:r w:rsidRPr="00AD529E">
              <w:rPr>
                <w:rFonts w:cstheme="minorHAnsi"/>
                <w:bCs/>
              </w:rPr>
              <w:t>Amortization Method</w:t>
            </w:r>
          </w:p>
        </w:tc>
        <w:tc>
          <w:tcPr>
            <w:tcW w:w="5778" w:type="dxa"/>
            <w:vAlign w:val="bottom"/>
          </w:tcPr>
          <w:p w14:paraId="7B7380E7" w14:textId="52F375AF" w:rsidR="00E373A1" w:rsidRPr="00AD529E" w:rsidRDefault="00E373A1" w:rsidP="005F07E9">
            <w:pPr>
              <w:rPr>
                <w:rFonts w:cstheme="minorHAnsi"/>
              </w:rPr>
            </w:pPr>
            <w:r w:rsidRPr="00AD529E">
              <w:rPr>
                <w:rFonts w:cstheme="minorHAnsi"/>
              </w:rPr>
              <w:t xml:space="preserve">Level </w:t>
            </w:r>
            <w:r w:rsidR="00DC758D" w:rsidRPr="00AD529E">
              <w:rPr>
                <w:rFonts w:cstheme="minorHAnsi"/>
              </w:rPr>
              <w:t>dollars</w:t>
            </w:r>
            <w:r w:rsidRPr="00AD529E">
              <w:rPr>
                <w:rFonts w:cstheme="minorHAnsi"/>
              </w:rPr>
              <w:t xml:space="preserve">, </w:t>
            </w:r>
            <w:r w:rsidR="005F07E9" w:rsidRPr="00AD529E">
              <w:rPr>
                <w:rFonts w:cstheme="minorHAnsi"/>
              </w:rPr>
              <w:t>Closed</w:t>
            </w:r>
          </w:p>
        </w:tc>
      </w:tr>
      <w:tr w:rsidR="00E373A1" w:rsidRPr="00C3101C" w14:paraId="7B7380EE" w14:textId="77777777" w:rsidTr="003C55BA">
        <w:tc>
          <w:tcPr>
            <w:tcW w:w="3168" w:type="dxa"/>
          </w:tcPr>
          <w:p w14:paraId="7B7380EC" w14:textId="77777777" w:rsidR="00E373A1" w:rsidRPr="00AD529E" w:rsidRDefault="00E373A1" w:rsidP="00E373A1">
            <w:pPr>
              <w:rPr>
                <w:rFonts w:cstheme="minorHAnsi"/>
                <w:bCs/>
              </w:rPr>
            </w:pPr>
            <w:r w:rsidRPr="00AD529E">
              <w:rPr>
                <w:rFonts w:cstheme="minorHAnsi"/>
                <w:bCs/>
              </w:rPr>
              <w:lastRenderedPageBreak/>
              <w:t>Effective Amortization Period</w:t>
            </w:r>
          </w:p>
        </w:tc>
        <w:tc>
          <w:tcPr>
            <w:tcW w:w="5778" w:type="dxa"/>
          </w:tcPr>
          <w:p w14:paraId="7B7380ED" w14:textId="7954259B" w:rsidR="00E373A1" w:rsidRPr="003E6273" w:rsidRDefault="00CA775D" w:rsidP="00A8746E">
            <w:pPr>
              <w:rPr>
                <w:rFonts w:cstheme="minorHAnsi"/>
              </w:rPr>
            </w:pPr>
            <w:r w:rsidRPr="001E6E4F">
              <w:rPr>
                <w:rFonts w:cstheme="minorHAnsi"/>
              </w:rPr>
              <w:t>5.8</w:t>
            </w:r>
            <w:r w:rsidR="002E3370" w:rsidRPr="001E6E4F">
              <w:rPr>
                <w:rFonts w:cstheme="minorHAnsi"/>
              </w:rPr>
              <w:t>0</w:t>
            </w:r>
            <w:r w:rsidR="00E373A1" w:rsidRPr="001E6E4F">
              <w:rPr>
                <w:rFonts w:cstheme="minorHAnsi"/>
              </w:rPr>
              <w:t xml:space="preserve"> years</w:t>
            </w:r>
          </w:p>
        </w:tc>
      </w:tr>
      <w:tr w:rsidR="00E373A1" w:rsidRPr="00C3101C" w14:paraId="7B7380F7" w14:textId="77777777" w:rsidTr="003C55BA">
        <w:tc>
          <w:tcPr>
            <w:tcW w:w="3168" w:type="dxa"/>
          </w:tcPr>
          <w:p w14:paraId="7B7380F5" w14:textId="77777777" w:rsidR="00E373A1" w:rsidRPr="00AD529E" w:rsidRDefault="003C55BA" w:rsidP="003C55BA">
            <w:pPr>
              <w:rPr>
                <w:rFonts w:cstheme="minorHAnsi"/>
                <w:bCs/>
              </w:rPr>
            </w:pPr>
            <w:r w:rsidRPr="00AD529E">
              <w:rPr>
                <w:rFonts w:cstheme="minorHAnsi"/>
                <w:bCs/>
              </w:rPr>
              <w:t>Discount Rate</w:t>
            </w:r>
          </w:p>
        </w:tc>
        <w:tc>
          <w:tcPr>
            <w:tcW w:w="5778" w:type="dxa"/>
          </w:tcPr>
          <w:p w14:paraId="7B7380F6" w14:textId="72EF18F9" w:rsidR="00E373A1" w:rsidRPr="003E6273" w:rsidRDefault="008500DF" w:rsidP="00C65F1E">
            <w:pPr>
              <w:rPr>
                <w:rFonts w:cstheme="minorHAnsi"/>
              </w:rPr>
            </w:pPr>
            <w:r w:rsidRPr="003E6273">
              <w:rPr>
                <w:rFonts w:cstheme="minorHAnsi"/>
              </w:rPr>
              <w:t>3.</w:t>
            </w:r>
            <w:r w:rsidR="009400A1">
              <w:rPr>
                <w:rFonts w:cstheme="minorHAnsi"/>
              </w:rPr>
              <w:t>93</w:t>
            </w:r>
            <w:r w:rsidR="00187653">
              <w:rPr>
                <w:rFonts w:cstheme="minorHAnsi"/>
              </w:rPr>
              <w:t>%</w:t>
            </w:r>
          </w:p>
        </w:tc>
      </w:tr>
      <w:tr w:rsidR="00E373A1" w:rsidRPr="00C3101C" w14:paraId="7B7380FA" w14:textId="77777777" w:rsidTr="006315C4">
        <w:trPr>
          <w:trHeight w:val="1053"/>
        </w:trPr>
        <w:tc>
          <w:tcPr>
            <w:tcW w:w="3168" w:type="dxa"/>
          </w:tcPr>
          <w:p w14:paraId="7B7380F8" w14:textId="77777777" w:rsidR="00E373A1" w:rsidRPr="00AD529E" w:rsidRDefault="00E373A1" w:rsidP="00E373A1">
            <w:pPr>
              <w:rPr>
                <w:rFonts w:cstheme="minorHAnsi"/>
                <w:bCs/>
              </w:rPr>
            </w:pPr>
            <w:r w:rsidRPr="00AD529E">
              <w:rPr>
                <w:rFonts w:cstheme="minorHAnsi"/>
                <w:bCs/>
              </w:rPr>
              <w:t>Projected Salary Increases</w:t>
            </w:r>
          </w:p>
        </w:tc>
        <w:tc>
          <w:tcPr>
            <w:tcW w:w="5778" w:type="dxa"/>
          </w:tcPr>
          <w:p w14:paraId="7B7380F9" w14:textId="4ABA90AA" w:rsidR="00E373A1" w:rsidRPr="003E6273" w:rsidRDefault="00AB1D0A" w:rsidP="005F07E9">
            <w:pPr>
              <w:rPr>
                <w:rFonts w:cstheme="minorHAnsi"/>
              </w:rPr>
            </w:pPr>
            <w:r w:rsidRPr="009766D2">
              <w:rPr>
                <w:rFonts w:cstheme="minorHAnsi"/>
              </w:rPr>
              <w:t>5.35% to 3.5</w:t>
            </w:r>
            <w:r w:rsidR="002C091D" w:rsidRPr="009766D2">
              <w:rPr>
                <w:rFonts w:cstheme="minorHAnsi"/>
              </w:rPr>
              <w:t>0</w:t>
            </w:r>
            <w:r w:rsidR="00E373A1" w:rsidRPr="009766D2">
              <w:rPr>
                <w:rFonts w:cstheme="minorHAnsi"/>
              </w:rPr>
              <w:t>%</w:t>
            </w:r>
            <w:r w:rsidRPr="003E6273">
              <w:rPr>
                <w:rFonts w:cstheme="minorHAnsi"/>
              </w:rPr>
              <w:t xml:space="preserve"> based on years of service from 1 year to 20 years or more</w:t>
            </w:r>
          </w:p>
        </w:tc>
      </w:tr>
      <w:tr w:rsidR="00E373A1" w:rsidRPr="00C3101C" w14:paraId="7B7380FD" w14:textId="77777777" w:rsidTr="003C55BA">
        <w:tc>
          <w:tcPr>
            <w:tcW w:w="3168" w:type="dxa"/>
          </w:tcPr>
          <w:p w14:paraId="7B7380FB" w14:textId="77777777" w:rsidR="00E373A1" w:rsidRPr="00AD529E" w:rsidRDefault="00E373A1" w:rsidP="00E373A1">
            <w:pPr>
              <w:rPr>
                <w:rFonts w:cstheme="minorHAnsi"/>
                <w:bCs/>
              </w:rPr>
            </w:pPr>
            <w:r w:rsidRPr="00AD529E">
              <w:rPr>
                <w:rFonts w:cstheme="minorHAnsi"/>
                <w:bCs/>
              </w:rPr>
              <w:t>Medical Trend Under 65</w:t>
            </w:r>
          </w:p>
        </w:tc>
        <w:tc>
          <w:tcPr>
            <w:tcW w:w="5778" w:type="dxa"/>
          </w:tcPr>
          <w:p w14:paraId="7B7380FC" w14:textId="26BA6637" w:rsidR="00E373A1" w:rsidRPr="00AD529E" w:rsidRDefault="00671338" w:rsidP="00456043">
            <w:pPr>
              <w:rPr>
                <w:rFonts w:cstheme="minorHAnsi"/>
              </w:rPr>
            </w:pPr>
            <w:r w:rsidRPr="00AD529E">
              <w:rPr>
                <w:rFonts w:cstheme="minorHAnsi"/>
              </w:rPr>
              <w:t>Medical</w:t>
            </w:r>
            <w:r w:rsidR="0023635C" w:rsidRPr="00AD529E">
              <w:rPr>
                <w:rFonts w:cstheme="minorHAnsi"/>
              </w:rPr>
              <w:t xml:space="preserve"> </w:t>
            </w:r>
            <w:r w:rsidRPr="00AD529E">
              <w:rPr>
                <w:rFonts w:cstheme="minorHAnsi"/>
              </w:rPr>
              <w:t>&amp;</w:t>
            </w:r>
            <w:r w:rsidR="0023635C" w:rsidRPr="00AD529E">
              <w:rPr>
                <w:rFonts w:cstheme="minorHAnsi"/>
              </w:rPr>
              <w:t xml:space="preserve"> </w:t>
            </w:r>
            <w:r w:rsidRPr="00AD529E">
              <w:rPr>
                <w:rFonts w:cstheme="minorHAnsi"/>
              </w:rPr>
              <w:t xml:space="preserve">Rx: </w:t>
            </w:r>
            <w:r w:rsidR="00EE567C">
              <w:rPr>
                <w:rFonts w:cstheme="minorHAnsi"/>
              </w:rPr>
              <w:t>7.</w:t>
            </w:r>
            <w:r w:rsidR="0086700C">
              <w:rPr>
                <w:rFonts w:cstheme="minorHAnsi"/>
              </w:rPr>
              <w:t>50</w:t>
            </w:r>
            <w:r w:rsidRPr="003E6273">
              <w:rPr>
                <w:rFonts w:cstheme="minorHAnsi"/>
              </w:rPr>
              <w:t xml:space="preserve">% to </w:t>
            </w:r>
            <w:r w:rsidR="00A8746E" w:rsidRPr="003E6273">
              <w:rPr>
                <w:rFonts w:cstheme="minorHAnsi"/>
              </w:rPr>
              <w:t>4.5</w:t>
            </w:r>
            <w:r w:rsidR="00306456" w:rsidRPr="003E6273">
              <w:rPr>
                <w:rFonts w:cstheme="minorHAnsi"/>
              </w:rPr>
              <w:t>0</w:t>
            </w:r>
            <w:r w:rsidRPr="003E6273">
              <w:rPr>
                <w:rFonts w:cstheme="minorHAnsi"/>
              </w:rPr>
              <w:t>% Dental: 4.00%</w:t>
            </w:r>
          </w:p>
        </w:tc>
      </w:tr>
      <w:tr w:rsidR="00E373A1" w:rsidRPr="00C3101C" w14:paraId="7B738100" w14:textId="77777777" w:rsidTr="003C55BA">
        <w:tc>
          <w:tcPr>
            <w:tcW w:w="3168" w:type="dxa"/>
          </w:tcPr>
          <w:p w14:paraId="7B7380FE" w14:textId="77777777" w:rsidR="00E373A1" w:rsidRPr="00AD529E" w:rsidRDefault="00E373A1" w:rsidP="00E373A1">
            <w:pPr>
              <w:rPr>
                <w:rFonts w:cstheme="minorHAnsi"/>
                <w:bCs/>
              </w:rPr>
            </w:pPr>
            <w:r w:rsidRPr="00AD529E">
              <w:rPr>
                <w:rFonts w:cstheme="minorHAnsi"/>
                <w:bCs/>
              </w:rPr>
              <w:t>Year of Ultimate Trend</w:t>
            </w:r>
          </w:p>
        </w:tc>
        <w:tc>
          <w:tcPr>
            <w:tcW w:w="5778" w:type="dxa"/>
          </w:tcPr>
          <w:p w14:paraId="7B7380FF" w14:textId="6B3AA63E" w:rsidR="00467768" w:rsidRPr="00AD529E" w:rsidRDefault="00AB1D0A" w:rsidP="00AB1D0A">
            <w:pPr>
              <w:rPr>
                <w:rFonts w:cstheme="minorHAnsi"/>
              </w:rPr>
            </w:pPr>
            <w:r w:rsidRPr="003E6273">
              <w:rPr>
                <w:rFonts w:cstheme="minorHAnsi"/>
              </w:rPr>
              <w:t>203</w:t>
            </w:r>
            <w:r w:rsidR="00CF1ADA">
              <w:rPr>
                <w:rFonts w:cstheme="minorHAnsi"/>
              </w:rPr>
              <w:t>4</w:t>
            </w:r>
          </w:p>
        </w:tc>
      </w:tr>
      <w:tr w:rsidR="00467768" w:rsidRPr="00C3101C" w14:paraId="7B738103" w14:textId="77777777" w:rsidTr="003C55BA">
        <w:tc>
          <w:tcPr>
            <w:tcW w:w="3168" w:type="dxa"/>
          </w:tcPr>
          <w:p w14:paraId="7B738101" w14:textId="77777777" w:rsidR="00467768" w:rsidRPr="00AD529E" w:rsidRDefault="00467768" w:rsidP="00E373A1">
            <w:pPr>
              <w:rPr>
                <w:rFonts w:cstheme="minorHAnsi"/>
                <w:bCs/>
              </w:rPr>
            </w:pPr>
            <w:r w:rsidRPr="00AD529E">
              <w:rPr>
                <w:rFonts w:cstheme="minorHAnsi"/>
                <w:bCs/>
              </w:rPr>
              <w:t>Mortality</w:t>
            </w:r>
          </w:p>
        </w:tc>
        <w:tc>
          <w:tcPr>
            <w:tcW w:w="5778" w:type="dxa"/>
          </w:tcPr>
          <w:p w14:paraId="7B738102" w14:textId="561FFC78" w:rsidR="00467768" w:rsidRPr="00AD529E" w:rsidRDefault="00B5589B" w:rsidP="00671338">
            <w:pPr>
              <w:rPr>
                <w:rFonts w:cstheme="minorHAnsi"/>
              </w:rPr>
            </w:pPr>
            <w:r w:rsidRPr="00AD529E">
              <w:rPr>
                <w:rFonts w:cstheme="minorHAnsi"/>
              </w:rPr>
              <w:t>Mortality rates vary by participant status</w:t>
            </w:r>
            <w:r w:rsidR="006D0A08">
              <w:rPr>
                <w:rFonts w:cstheme="minorHAnsi"/>
              </w:rPr>
              <w:t xml:space="preserve"> and gender</w:t>
            </w:r>
          </w:p>
        </w:tc>
      </w:tr>
      <w:tr w:rsidR="00467768" w:rsidRPr="00C3101C" w14:paraId="7B738106" w14:textId="77777777" w:rsidTr="003C55BA">
        <w:tc>
          <w:tcPr>
            <w:tcW w:w="3168" w:type="dxa"/>
          </w:tcPr>
          <w:p w14:paraId="7B738104" w14:textId="0B54BB1C" w:rsidR="00467768" w:rsidRPr="00AD529E" w:rsidRDefault="00B5589B" w:rsidP="00E373A1">
            <w:pPr>
              <w:rPr>
                <w:rFonts w:cstheme="minorHAnsi"/>
                <w:bCs/>
              </w:rPr>
            </w:pPr>
            <w:r w:rsidRPr="00AD529E">
              <w:rPr>
                <w:rFonts w:cstheme="minorHAnsi"/>
              </w:rPr>
              <w:t xml:space="preserve">          </w:t>
            </w:r>
            <w:r w:rsidR="00467768" w:rsidRPr="00AD529E">
              <w:rPr>
                <w:rFonts w:cstheme="minorHAnsi"/>
              </w:rPr>
              <w:t>Pre-Retirement:</w:t>
            </w:r>
          </w:p>
        </w:tc>
        <w:tc>
          <w:tcPr>
            <w:tcW w:w="5778" w:type="dxa"/>
          </w:tcPr>
          <w:p w14:paraId="7B738105" w14:textId="1C51CC8B" w:rsidR="00467768" w:rsidRPr="00AD529E" w:rsidRDefault="00AB1D0A" w:rsidP="006F5738">
            <w:pPr>
              <w:pStyle w:val="Default"/>
              <w:rPr>
                <w:rFonts w:asciiTheme="minorHAnsi" w:hAnsiTheme="minorHAnsi" w:cstheme="minorHAnsi"/>
                <w:sz w:val="22"/>
                <w:szCs w:val="22"/>
              </w:rPr>
            </w:pPr>
            <w:r w:rsidRPr="00AB1D0A">
              <w:rPr>
                <w:rFonts w:asciiTheme="minorHAnsi" w:hAnsiTheme="minorHAnsi" w:cstheme="minorHAnsi"/>
                <w:sz w:val="22"/>
                <w:szCs w:val="22"/>
              </w:rPr>
              <w:t xml:space="preserve">Pub-2010 Benefits Weighted General Employee Rates projected generationally with a Modified MP-2021 Improvement Scale; females set forward 2 </w:t>
            </w:r>
            <w:r w:rsidR="005F43D1" w:rsidRPr="00AB1D0A">
              <w:rPr>
                <w:rFonts w:asciiTheme="minorHAnsi" w:hAnsiTheme="minorHAnsi" w:cstheme="minorHAnsi"/>
                <w:sz w:val="22"/>
                <w:szCs w:val="22"/>
              </w:rPr>
              <w:t>years</w:t>
            </w:r>
            <w:r w:rsidR="00467768" w:rsidRPr="00AD529E">
              <w:rPr>
                <w:rFonts w:asciiTheme="minorHAnsi" w:hAnsiTheme="minorHAnsi" w:cstheme="minorHAnsi"/>
                <w:sz w:val="22"/>
                <w:szCs w:val="22"/>
              </w:rPr>
              <w:br/>
            </w:r>
          </w:p>
        </w:tc>
      </w:tr>
      <w:tr w:rsidR="00467768" w:rsidRPr="00C3101C" w14:paraId="7B738109" w14:textId="77777777" w:rsidTr="003C55BA">
        <w:tc>
          <w:tcPr>
            <w:tcW w:w="3168" w:type="dxa"/>
          </w:tcPr>
          <w:p w14:paraId="7B738107" w14:textId="7F152127" w:rsidR="00467768" w:rsidRPr="00AD529E" w:rsidRDefault="00B5589B" w:rsidP="00E373A1">
            <w:pPr>
              <w:rPr>
                <w:rFonts w:cstheme="minorHAnsi"/>
                <w:bCs/>
              </w:rPr>
            </w:pPr>
            <w:r w:rsidRPr="00AD529E">
              <w:rPr>
                <w:rFonts w:cstheme="minorHAnsi"/>
              </w:rPr>
              <w:t xml:space="preserve">          </w:t>
            </w:r>
            <w:r w:rsidR="00467768" w:rsidRPr="00AD529E">
              <w:rPr>
                <w:rFonts w:cstheme="minorHAnsi"/>
              </w:rPr>
              <w:t>Post-Retirement</w:t>
            </w:r>
            <w:r w:rsidR="00157FB1">
              <w:rPr>
                <w:rFonts w:cstheme="minorHAnsi"/>
              </w:rPr>
              <w:t>:</w:t>
            </w:r>
          </w:p>
        </w:tc>
        <w:tc>
          <w:tcPr>
            <w:tcW w:w="5778" w:type="dxa"/>
          </w:tcPr>
          <w:p w14:paraId="7B738108" w14:textId="3504BFC9" w:rsidR="00467768" w:rsidRPr="00AD529E" w:rsidRDefault="00AB1D0A" w:rsidP="00671338">
            <w:pPr>
              <w:rPr>
                <w:rFonts w:cstheme="minorHAnsi"/>
              </w:rPr>
            </w:pPr>
            <w:r w:rsidRPr="007C1F31">
              <w:rPr>
                <w:rFonts w:cstheme="minorHAnsi"/>
              </w:rPr>
              <w:t>Pub-2010 Benefits Weighted General Healthy Retiree Rates projected generationally with a Modified MP-2021 Improvement Scale; 110% of rates for females</w:t>
            </w:r>
          </w:p>
        </w:tc>
      </w:tr>
      <w:tr w:rsidR="00467768" w:rsidRPr="00C3101C" w14:paraId="7B73810C" w14:textId="77777777" w:rsidTr="003C55BA">
        <w:tc>
          <w:tcPr>
            <w:tcW w:w="3168" w:type="dxa"/>
          </w:tcPr>
          <w:p w14:paraId="7B73810A" w14:textId="6499141D" w:rsidR="00467768" w:rsidRPr="00AD529E" w:rsidRDefault="00B5589B" w:rsidP="00E373A1">
            <w:pPr>
              <w:rPr>
                <w:rFonts w:cstheme="minorHAnsi"/>
                <w:bCs/>
              </w:rPr>
            </w:pPr>
            <w:r w:rsidRPr="00AD529E">
              <w:rPr>
                <w:rFonts w:cstheme="minorHAnsi"/>
              </w:rPr>
              <w:t xml:space="preserve">          </w:t>
            </w:r>
            <w:r w:rsidR="00467768" w:rsidRPr="00AD529E">
              <w:rPr>
                <w:rFonts w:cstheme="minorHAnsi"/>
              </w:rPr>
              <w:t>Post-Disablement:</w:t>
            </w:r>
          </w:p>
        </w:tc>
        <w:tc>
          <w:tcPr>
            <w:tcW w:w="5778" w:type="dxa"/>
          </w:tcPr>
          <w:p w14:paraId="7B73810B" w14:textId="7AAAB75F" w:rsidR="00467768" w:rsidRPr="00AD529E" w:rsidRDefault="00AB1D0A" w:rsidP="00671338">
            <w:pPr>
              <w:rPr>
                <w:rFonts w:cstheme="minorHAnsi"/>
              </w:rPr>
            </w:pPr>
            <w:r w:rsidRPr="007C1F31">
              <w:rPr>
                <w:rFonts w:cstheme="minorHAnsi"/>
              </w:rPr>
              <w:t>Pub-2010 Benefits Weighted General Disabled Rates projected generationally with a Modified MP-2021 Improvement Scale; males and females set forward 3 years</w:t>
            </w:r>
          </w:p>
        </w:tc>
      </w:tr>
      <w:tr w:rsidR="00AB1D0A" w:rsidRPr="00C3101C" w14:paraId="554DD10C" w14:textId="77777777" w:rsidTr="003C55BA">
        <w:tc>
          <w:tcPr>
            <w:tcW w:w="3168" w:type="dxa"/>
          </w:tcPr>
          <w:p w14:paraId="79CBD278" w14:textId="4E4E47DB" w:rsidR="00AB1D0A" w:rsidRPr="00AD529E" w:rsidRDefault="00AB1D0A" w:rsidP="00AB1D0A">
            <w:pPr>
              <w:rPr>
                <w:rFonts w:cstheme="minorHAnsi"/>
              </w:rPr>
            </w:pPr>
            <w:r>
              <w:rPr>
                <w:rFonts w:cstheme="minorHAnsi"/>
                <w:bCs/>
              </w:rPr>
              <w:t>Beneficiaries and Survivors:</w:t>
            </w:r>
          </w:p>
        </w:tc>
        <w:tc>
          <w:tcPr>
            <w:tcW w:w="5778" w:type="dxa"/>
          </w:tcPr>
          <w:p w14:paraId="1B563577" w14:textId="2C277E57" w:rsidR="00AB1D0A" w:rsidRPr="007C1F31" w:rsidRDefault="00AB1D0A" w:rsidP="00AB1D0A">
            <w:pPr>
              <w:rPr>
                <w:rFonts w:cstheme="minorHAnsi"/>
              </w:rPr>
            </w:pPr>
            <w:r w:rsidRPr="007C1F31">
              <w:rPr>
                <w:rFonts w:cstheme="minorHAnsi"/>
              </w:rPr>
              <w:t>Pub-2010 Benefits Weighted General Contingent Annuitant Rates projected generationally with a Modified MP-2021 Improvement Scale; 110% of rates for males and females</w:t>
            </w:r>
          </w:p>
        </w:tc>
      </w:tr>
    </w:tbl>
    <w:p w14:paraId="78A6FDF4" w14:textId="77777777" w:rsidR="00B5589B" w:rsidRDefault="00B5589B" w:rsidP="00B5589B">
      <w:pPr>
        <w:pStyle w:val="Default"/>
        <w:spacing w:line="259" w:lineRule="auto"/>
        <w:rPr>
          <w:sz w:val="20"/>
          <w:szCs w:val="20"/>
        </w:rPr>
      </w:pPr>
    </w:p>
    <w:p w14:paraId="5473F92D" w14:textId="16BBB9DB" w:rsidR="00CA3859" w:rsidRDefault="00AB6984" w:rsidP="00A84CE9">
      <w:pPr>
        <w:pStyle w:val="Default"/>
        <w:spacing w:after="160" w:line="259" w:lineRule="auto"/>
        <w:rPr>
          <w:rFonts w:asciiTheme="minorHAnsi" w:hAnsiTheme="minorHAnsi" w:cstheme="minorHAnsi"/>
          <w:sz w:val="22"/>
          <w:szCs w:val="22"/>
        </w:rPr>
      </w:pPr>
      <w:r w:rsidRPr="00AD529E">
        <w:rPr>
          <w:rFonts w:asciiTheme="minorHAnsi" w:hAnsiTheme="minorHAnsi" w:cstheme="minorHAnsi"/>
          <w:sz w:val="22"/>
          <w:szCs w:val="22"/>
        </w:rPr>
        <w:t xml:space="preserve">The discount rate was based on the Bond Buyers GO 20 Municipal Bond Index as of the measurement date which is June 30, </w:t>
      </w:r>
      <w:r w:rsidR="00AB1D0A" w:rsidRPr="00AD529E">
        <w:rPr>
          <w:rFonts w:asciiTheme="minorHAnsi" w:hAnsiTheme="minorHAnsi" w:cstheme="minorHAnsi"/>
          <w:sz w:val="22"/>
          <w:szCs w:val="22"/>
        </w:rPr>
        <w:t>20</w:t>
      </w:r>
      <w:r w:rsidR="00AB1D0A">
        <w:rPr>
          <w:rFonts w:asciiTheme="minorHAnsi" w:hAnsiTheme="minorHAnsi" w:cstheme="minorHAnsi"/>
          <w:sz w:val="22"/>
          <w:szCs w:val="22"/>
        </w:rPr>
        <w:t>2</w:t>
      </w:r>
      <w:r w:rsidR="00185EAB">
        <w:rPr>
          <w:rFonts w:asciiTheme="minorHAnsi" w:hAnsiTheme="minorHAnsi" w:cstheme="minorHAnsi"/>
          <w:sz w:val="22"/>
          <w:szCs w:val="22"/>
        </w:rPr>
        <w:t>4</w:t>
      </w:r>
      <w:r w:rsidRPr="00AD529E">
        <w:rPr>
          <w:rFonts w:asciiTheme="minorHAnsi" w:hAnsiTheme="minorHAnsi" w:cstheme="minorHAnsi"/>
          <w:sz w:val="22"/>
          <w:szCs w:val="22"/>
        </w:rPr>
        <w:t>.</w:t>
      </w:r>
    </w:p>
    <w:p w14:paraId="5BAD106D" w14:textId="2E9682C1" w:rsidR="00C64D3F" w:rsidRPr="00B60604" w:rsidRDefault="00C64D3F" w:rsidP="00C64D3F">
      <w:pPr>
        <w:rPr>
          <w:rFonts w:cstheme="minorHAnsi"/>
          <w:iCs/>
        </w:rPr>
      </w:pPr>
      <w:r w:rsidRPr="00B63FE6">
        <w:rPr>
          <w:rFonts w:cstheme="minorHAnsi"/>
          <w:i/>
        </w:rPr>
        <w:t>Changes of Assumptions:</w:t>
      </w:r>
      <w:r>
        <w:rPr>
          <w:rFonts w:cstheme="minorHAnsi"/>
          <w:i/>
        </w:rPr>
        <w:t xml:space="preserve"> </w:t>
      </w:r>
      <w:r w:rsidRPr="00B60604">
        <w:rPr>
          <w:rFonts w:cstheme="minorHAnsi"/>
          <w:iCs/>
        </w:rPr>
        <w:t xml:space="preserve">There were not any changes in assumptions since the </w:t>
      </w:r>
      <w:r w:rsidR="003F2D3B" w:rsidRPr="00B60604">
        <w:rPr>
          <w:rFonts w:cstheme="minorHAnsi"/>
          <w:iCs/>
        </w:rPr>
        <w:t>date of June 30, 2022, measurement</w:t>
      </w:r>
      <w:r w:rsidRPr="00B60604">
        <w:rPr>
          <w:rFonts w:cstheme="minorHAnsi"/>
          <w:iCs/>
        </w:rPr>
        <w:t>.</w:t>
      </w:r>
      <w:r>
        <w:rPr>
          <w:rFonts w:cstheme="minorHAnsi"/>
          <w:i/>
        </w:rPr>
        <w:t xml:space="preserve">  </w:t>
      </w:r>
      <w:r w:rsidRPr="00B63FE6">
        <w:rPr>
          <w:rFonts w:cstheme="minorHAnsi"/>
          <w:i/>
        </w:rPr>
        <w:t xml:space="preserve"> </w:t>
      </w:r>
      <w:r w:rsidRPr="00B60604">
        <w:rPr>
          <w:rFonts w:cstheme="minorHAnsi"/>
          <w:iCs/>
        </w:rPr>
        <w:t xml:space="preserve">The following remained constant </w:t>
      </w:r>
      <w:r w:rsidR="002A715B">
        <w:rPr>
          <w:rFonts w:cstheme="minorHAnsi"/>
          <w:iCs/>
        </w:rPr>
        <w:t xml:space="preserve">since </w:t>
      </w:r>
      <w:r w:rsidRPr="00B60604">
        <w:rPr>
          <w:rFonts w:cstheme="minorHAnsi"/>
          <w:iCs/>
        </w:rPr>
        <w:t>the prior measurement date</w:t>
      </w:r>
      <w:r>
        <w:rPr>
          <w:rFonts w:cstheme="minorHAnsi"/>
          <w:iCs/>
        </w:rPr>
        <w:t>:</w:t>
      </w:r>
    </w:p>
    <w:p w14:paraId="195BFB2B" w14:textId="77777777" w:rsidR="00C64D3F" w:rsidRPr="00357512" w:rsidRDefault="00C64D3F" w:rsidP="00C64D3F">
      <w:pPr>
        <w:pStyle w:val="ListParagraph"/>
        <w:numPr>
          <w:ilvl w:val="0"/>
          <w:numId w:val="15"/>
        </w:numPr>
        <w:rPr>
          <w:rFonts w:cstheme="minorHAnsi"/>
        </w:rPr>
      </w:pPr>
      <w:r w:rsidRPr="00357512">
        <w:rPr>
          <w:rFonts w:cstheme="minorHAnsi"/>
        </w:rPr>
        <w:t>Spousal Coverage – rate remained at 20</w:t>
      </w:r>
      <w:r>
        <w:rPr>
          <w:rFonts w:cstheme="minorHAnsi"/>
        </w:rPr>
        <w:t xml:space="preserve"> percent </w:t>
      </w:r>
      <w:r w:rsidRPr="00357512">
        <w:rPr>
          <w:rFonts w:cstheme="minorHAnsi"/>
        </w:rPr>
        <w:t xml:space="preserve"> </w:t>
      </w:r>
    </w:p>
    <w:p w14:paraId="78BF64BA" w14:textId="77777777" w:rsidR="00C64D3F" w:rsidRPr="005400E4" w:rsidRDefault="00C64D3F" w:rsidP="00C64D3F">
      <w:pPr>
        <w:pStyle w:val="ListParagraph"/>
        <w:numPr>
          <w:ilvl w:val="0"/>
          <w:numId w:val="14"/>
        </w:numPr>
        <w:rPr>
          <w:rFonts w:cstheme="minorHAnsi"/>
          <w:sz w:val="20"/>
          <w:szCs w:val="20"/>
        </w:rPr>
      </w:pPr>
      <w:r w:rsidRPr="00B63FE6">
        <w:rPr>
          <w:rFonts w:cstheme="minorHAnsi"/>
        </w:rPr>
        <w:t xml:space="preserve">Retiree Participation </w:t>
      </w:r>
      <w:r>
        <w:rPr>
          <w:rFonts w:cstheme="minorHAnsi"/>
        </w:rPr>
        <w:t>–</w:t>
      </w:r>
      <w:r w:rsidRPr="00B63FE6">
        <w:rPr>
          <w:rFonts w:cstheme="minorHAnsi"/>
        </w:rPr>
        <w:t xml:space="preserve"> </w:t>
      </w:r>
      <w:r>
        <w:rPr>
          <w:rFonts w:cstheme="minorHAnsi"/>
        </w:rPr>
        <w:t>rate remained at 35 percent</w:t>
      </w:r>
      <w:r w:rsidRPr="00B63FE6">
        <w:rPr>
          <w:rFonts w:cstheme="minorHAnsi"/>
        </w:rPr>
        <w:t xml:space="preserve">         </w:t>
      </w:r>
    </w:p>
    <w:p w14:paraId="6F224481" w14:textId="3F2D2F8E" w:rsidR="006D414D" w:rsidRPr="006D414D" w:rsidRDefault="006D414D" w:rsidP="00A84CE9">
      <w:pPr>
        <w:spacing w:after="160" w:line="259" w:lineRule="auto"/>
        <w:rPr>
          <w:rFonts w:cstheme="minorHAnsi"/>
        </w:rPr>
      </w:pPr>
      <w:r>
        <w:rPr>
          <w:rFonts w:cstheme="minorHAnsi"/>
        </w:rPr>
        <w:t>Retiree</w:t>
      </w:r>
      <w:r w:rsidR="008A0568">
        <w:rPr>
          <w:rFonts w:cstheme="minorHAnsi"/>
        </w:rPr>
        <w:t xml:space="preserve"> participation was based on a blend of recent experience and the prior year assumptions. </w:t>
      </w:r>
    </w:p>
    <w:p w14:paraId="40439D4F" w14:textId="2AF211CC" w:rsidR="00A66CC3" w:rsidRDefault="007D0F1C" w:rsidP="00A84CE9">
      <w:pPr>
        <w:rPr>
          <w:rFonts w:cstheme="minorHAnsi"/>
        </w:rPr>
      </w:pPr>
      <w:r w:rsidRPr="00FA5F21">
        <w:rPr>
          <w:rFonts w:cstheme="minorHAnsi"/>
        </w:rPr>
        <w:t xml:space="preserve">The trend rates </w:t>
      </w:r>
      <w:r w:rsidR="00DD3D76" w:rsidRPr="00FA5F21">
        <w:rPr>
          <w:rFonts w:cstheme="minorHAnsi"/>
        </w:rPr>
        <w:t>w</w:t>
      </w:r>
      <w:r w:rsidR="00DD3D76">
        <w:rPr>
          <w:rFonts w:cstheme="minorHAnsi"/>
        </w:rPr>
        <w:t>ere</w:t>
      </w:r>
      <w:r w:rsidR="00DD3D76" w:rsidRPr="00FA5F21">
        <w:rPr>
          <w:rFonts w:cstheme="minorHAnsi"/>
        </w:rPr>
        <w:t xml:space="preserve"> </w:t>
      </w:r>
      <w:r w:rsidRPr="00FA5F21">
        <w:rPr>
          <w:rFonts w:cstheme="minorHAnsi"/>
        </w:rPr>
        <w:t xml:space="preserve">updated based on economic conditions as of </w:t>
      </w:r>
      <w:r w:rsidR="00456043">
        <w:rPr>
          <w:rFonts w:cstheme="minorHAnsi"/>
        </w:rPr>
        <w:t xml:space="preserve">June 30, </w:t>
      </w:r>
      <w:r w:rsidR="004D2DCE">
        <w:rPr>
          <w:rFonts w:cstheme="minorHAnsi"/>
        </w:rPr>
        <w:t>202</w:t>
      </w:r>
      <w:r w:rsidR="00FD1747">
        <w:rPr>
          <w:rFonts w:cstheme="minorHAnsi"/>
        </w:rPr>
        <w:t>4</w:t>
      </w:r>
      <w:r w:rsidRPr="00FA5F21">
        <w:rPr>
          <w:rFonts w:cstheme="minorHAnsi"/>
        </w:rPr>
        <w:t xml:space="preserve">.  Additionally, the discount rate </w:t>
      </w:r>
      <w:r w:rsidRPr="003E6273">
        <w:rPr>
          <w:rFonts w:cstheme="minorHAnsi"/>
        </w:rPr>
        <w:t xml:space="preserve">was </w:t>
      </w:r>
      <w:r w:rsidR="00D20C3E" w:rsidRPr="003E6273">
        <w:rPr>
          <w:rFonts w:cstheme="minorHAnsi"/>
        </w:rPr>
        <w:t>increased</w:t>
      </w:r>
      <w:r w:rsidRPr="003E6273">
        <w:rPr>
          <w:rFonts w:cstheme="minorHAnsi"/>
        </w:rPr>
        <w:t xml:space="preserve"> from </w:t>
      </w:r>
      <w:r w:rsidR="00833F4E">
        <w:rPr>
          <w:rFonts w:cstheme="minorHAnsi"/>
        </w:rPr>
        <w:t>3.</w:t>
      </w:r>
      <w:r w:rsidR="009F42A1">
        <w:rPr>
          <w:rFonts w:cstheme="minorHAnsi"/>
        </w:rPr>
        <w:t>65</w:t>
      </w:r>
      <w:r w:rsidR="009F28A9">
        <w:rPr>
          <w:rFonts w:cstheme="minorHAnsi"/>
        </w:rPr>
        <w:t xml:space="preserve"> </w:t>
      </w:r>
      <w:r w:rsidR="003F2D3B">
        <w:rPr>
          <w:rFonts w:cstheme="minorHAnsi"/>
        </w:rPr>
        <w:t xml:space="preserve">percent </w:t>
      </w:r>
      <w:r w:rsidR="003F2D3B" w:rsidRPr="003E6273">
        <w:rPr>
          <w:rFonts w:cstheme="minorHAnsi"/>
        </w:rPr>
        <w:t>to</w:t>
      </w:r>
      <w:r w:rsidRPr="003E6273">
        <w:rPr>
          <w:rFonts w:cstheme="minorHAnsi"/>
        </w:rPr>
        <w:t xml:space="preserve"> </w:t>
      </w:r>
      <w:r w:rsidR="009411DE" w:rsidRPr="003E6273">
        <w:rPr>
          <w:rFonts w:cstheme="minorHAnsi"/>
        </w:rPr>
        <w:t>3.</w:t>
      </w:r>
      <w:r w:rsidR="009F42A1">
        <w:rPr>
          <w:rFonts w:cstheme="minorHAnsi"/>
        </w:rPr>
        <w:t>93</w:t>
      </w:r>
      <w:r w:rsidR="005C2C6A">
        <w:rPr>
          <w:rFonts w:cstheme="minorHAnsi"/>
        </w:rPr>
        <w:t xml:space="preserve"> percent </w:t>
      </w:r>
      <w:r w:rsidR="005C2C6A" w:rsidRPr="00FA5F21">
        <w:rPr>
          <w:rFonts w:cstheme="minorHAnsi"/>
        </w:rPr>
        <w:t>based</w:t>
      </w:r>
      <w:r w:rsidRPr="00FA5F21">
        <w:rPr>
          <w:rFonts w:cstheme="minorHAnsi"/>
        </w:rPr>
        <w:t xml:space="preserve"> on the Bond Buyers GO 20 Municipal Bond Index</w:t>
      </w:r>
      <w:r w:rsidR="00F42909">
        <w:rPr>
          <w:rFonts w:cstheme="minorHAnsi"/>
        </w:rPr>
        <w:t xml:space="preserve"> as of June 30, 202</w:t>
      </w:r>
      <w:r w:rsidR="009F42A1">
        <w:rPr>
          <w:rFonts w:cstheme="minorHAnsi"/>
        </w:rPr>
        <w:t>4</w:t>
      </w:r>
      <w:r w:rsidR="00873269">
        <w:rPr>
          <w:rFonts w:cstheme="minorHAnsi"/>
        </w:rPr>
        <w:t>.</w:t>
      </w:r>
      <w:bookmarkStart w:id="0" w:name="_Ref461526626"/>
    </w:p>
    <w:p w14:paraId="610A6250" w14:textId="0720D432" w:rsidR="004D2DCE" w:rsidRPr="00FA5F21" w:rsidRDefault="004D2DCE" w:rsidP="00A84CE9">
      <w:pPr>
        <w:rPr>
          <w:rFonts w:cstheme="minorHAnsi"/>
        </w:rPr>
      </w:pPr>
      <w:r>
        <w:rPr>
          <w:rFonts w:cstheme="minorHAnsi"/>
        </w:rPr>
        <w:t>There were no plan changes in the valuat</w:t>
      </w:r>
      <w:r w:rsidR="00880EEF">
        <w:rPr>
          <w:rFonts w:cstheme="minorHAnsi"/>
        </w:rPr>
        <w:t>i</w:t>
      </w:r>
      <w:r>
        <w:rPr>
          <w:rFonts w:cstheme="minorHAnsi"/>
        </w:rPr>
        <w:t>on since the prior year.</w:t>
      </w:r>
    </w:p>
    <w:p w14:paraId="081F5795" w14:textId="77777777" w:rsidR="001D41BC" w:rsidRDefault="001D41BC" w:rsidP="00B5589B">
      <w:pPr>
        <w:pStyle w:val="AonBodyCopy"/>
        <w:spacing w:after="0" w:line="259" w:lineRule="auto"/>
        <w:jc w:val="both"/>
        <w:rPr>
          <w:rFonts w:eastAsiaTheme="minorHAnsi" w:cs="Arial"/>
          <w:b/>
          <w:bCs/>
          <w:u w:val="single"/>
        </w:rPr>
      </w:pPr>
    </w:p>
    <w:p w14:paraId="6BF93F8B" w14:textId="0D3B8AAC" w:rsidR="00AB6984" w:rsidRPr="00AD529E" w:rsidRDefault="00284A4D" w:rsidP="00B5589B">
      <w:pPr>
        <w:pStyle w:val="AonBodyCopy"/>
        <w:spacing w:after="0" w:line="259" w:lineRule="auto"/>
        <w:jc w:val="both"/>
        <w:rPr>
          <w:rFonts w:asciiTheme="minorHAnsi" w:eastAsiaTheme="minorHAnsi" w:hAnsiTheme="minorHAnsi" w:cstheme="minorHAnsi"/>
          <w:b/>
          <w:bCs/>
          <w:sz w:val="22"/>
          <w:szCs w:val="22"/>
          <w:u w:val="single"/>
        </w:rPr>
      </w:pPr>
      <w:r w:rsidRPr="00AD529E">
        <w:rPr>
          <w:rFonts w:asciiTheme="minorHAnsi" w:eastAsiaTheme="minorHAnsi" w:hAnsiTheme="minorHAnsi" w:cstheme="minorHAnsi"/>
          <w:b/>
          <w:bCs/>
          <w:sz w:val="22"/>
          <w:szCs w:val="22"/>
          <w:u w:val="single"/>
        </w:rPr>
        <w:t>Pre-Medicare Retiree</w:t>
      </w:r>
      <w:r w:rsidR="00A71284" w:rsidRPr="00AD529E">
        <w:rPr>
          <w:rFonts w:asciiTheme="minorHAnsi" w:eastAsiaTheme="minorHAnsi" w:hAnsiTheme="minorHAnsi" w:cstheme="minorHAnsi"/>
          <w:b/>
          <w:bCs/>
          <w:sz w:val="22"/>
          <w:szCs w:val="22"/>
          <w:u w:val="single"/>
        </w:rPr>
        <w:t xml:space="preserve"> Healthcare</w:t>
      </w:r>
      <w:r w:rsidRPr="00AD529E">
        <w:rPr>
          <w:rFonts w:asciiTheme="minorHAnsi" w:eastAsiaTheme="minorHAnsi" w:hAnsiTheme="minorHAnsi" w:cstheme="minorHAnsi"/>
          <w:b/>
          <w:bCs/>
          <w:sz w:val="22"/>
          <w:szCs w:val="22"/>
          <w:u w:val="single"/>
        </w:rPr>
        <w:t xml:space="preserve"> </w:t>
      </w:r>
      <w:r w:rsidR="00B46C43" w:rsidRPr="00AD529E">
        <w:rPr>
          <w:rFonts w:asciiTheme="minorHAnsi" w:eastAsiaTheme="minorHAnsi" w:hAnsiTheme="minorHAnsi" w:cstheme="minorHAnsi"/>
          <w:b/>
          <w:bCs/>
          <w:sz w:val="22"/>
          <w:szCs w:val="22"/>
          <w:u w:val="single"/>
        </w:rPr>
        <w:t xml:space="preserve">OPEB </w:t>
      </w:r>
      <w:r w:rsidRPr="00AD529E">
        <w:rPr>
          <w:rFonts w:asciiTheme="minorHAnsi" w:eastAsiaTheme="minorHAnsi" w:hAnsiTheme="minorHAnsi" w:cstheme="minorHAnsi"/>
          <w:b/>
          <w:bCs/>
          <w:sz w:val="22"/>
          <w:szCs w:val="22"/>
          <w:u w:val="single"/>
        </w:rPr>
        <w:t>Liabilities, OPEB Expense, and Deferred Outflow of Resources and Deferred Inflows of Resources</w:t>
      </w:r>
    </w:p>
    <w:p w14:paraId="4C9E10C0" w14:textId="77777777" w:rsidR="00B5589B" w:rsidRDefault="00B5589B" w:rsidP="00B5589B">
      <w:pPr>
        <w:pStyle w:val="AonBodyCopy"/>
        <w:spacing w:after="0" w:line="259" w:lineRule="auto"/>
        <w:rPr>
          <w:rFonts w:cs="Arial"/>
        </w:rPr>
      </w:pPr>
    </w:p>
    <w:p w14:paraId="52F8F6AA" w14:textId="40FCB12B" w:rsidR="00B5589B" w:rsidRPr="009F28A9" w:rsidRDefault="00D52FED" w:rsidP="00A84CE9">
      <w:pPr>
        <w:rPr>
          <w:rFonts w:eastAsia="Times New Roman" w:cstheme="minorHAnsi"/>
          <w:b/>
          <w:bCs/>
          <w:color w:val="000000"/>
        </w:rPr>
      </w:pPr>
      <w:r w:rsidRPr="009F28A9">
        <w:rPr>
          <w:rFonts w:cstheme="minorHAnsi"/>
        </w:rPr>
        <w:t>On</w:t>
      </w:r>
      <w:r w:rsidR="006541D8" w:rsidRPr="009F28A9">
        <w:rPr>
          <w:rFonts w:cstheme="minorHAnsi"/>
        </w:rPr>
        <w:t xml:space="preserve"> June 30, </w:t>
      </w:r>
      <w:r w:rsidR="0099352E">
        <w:rPr>
          <w:rFonts w:cstheme="minorHAnsi"/>
        </w:rPr>
        <w:t>2025</w:t>
      </w:r>
      <w:r w:rsidRPr="009F28A9">
        <w:rPr>
          <w:rFonts w:cstheme="minorHAnsi"/>
        </w:rPr>
        <w:t>,</w:t>
      </w:r>
      <w:r w:rsidR="004D2DCE" w:rsidRPr="009F28A9">
        <w:rPr>
          <w:rFonts w:cstheme="minorHAnsi"/>
        </w:rPr>
        <w:t xml:space="preserve"> </w:t>
      </w:r>
      <w:r w:rsidR="006541D8" w:rsidRPr="009F28A9">
        <w:rPr>
          <w:rFonts w:cstheme="minorHAnsi"/>
        </w:rPr>
        <w:t>the employer reported a liability of $</w:t>
      </w:r>
      <w:r w:rsidR="006541D8" w:rsidRPr="009F28A9">
        <w:rPr>
          <w:rFonts w:cstheme="minorHAnsi"/>
          <w:highlight w:val="green"/>
        </w:rPr>
        <w:t xml:space="preserve">Appendix A Column </w:t>
      </w:r>
      <w:r w:rsidR="00DC6D79" w:rsidRPr="009F28A9">
        <w:rPr>
          <w:rFonts w:cstheme="minorHAnsi"/>
          <w:highlight w:val="green"/>
        </w:rPr>
        <w:t>C</w:t>
      </w:r>
      <w:r w:rsidR="00DC6D79" w:rsidRPr="009F28A9">
        <w:rPr>
          <w:rFonts w:cstheme="minorHAnsi"/>
        </w:rPr>
        <w:t xml:space="preserve"> </w:t>
      </w:r>
      <w:r w:rsidR="009F28A9">
        <w:rPr>
          <w:rFonts w:cstheme="minorHAnsi"/>
        </w:rPr>
        <w:t>for</w:t>
      </w:r>
      <w:r w:rsidR="006541D8" w:rsidRPr="009F28A9">
        <w:rPr>
          <w:rFonts w:cstheme="minorHAnsi"/>
        </w:rPr>
        <w:t xml:space="preserve"> its proportionate share of the</w:t>
      </w:r>
      <w:r w:rsidR="00B46C43" w:rsidRPr="009F28A9">
        <w:rPr>
          <w:rFonts w:cstheme="minorHAnsi"/>
        </w:rPr>
        <w:t xml:space="preserve"> collective</w:t>
      </w:r>
      <w:r w:rsidR="006541D8" w:rsidRPr="009F28A9">
        <w:rPr>
          <w:rFonts w:cstheme="minorHAnsi"/>
        </w:rPr>
        <w:t xml:space="preserve"> total Pre-Medicare Retiree Healthcare OPEB liability</w:t>
      </w:r>
      <w:r w:rsidR="00643E40" w:rsidRPr="009F28A9">
        <w:rPr>
          <w:rFonts w:cstheme="minorHAnsi"/>
        </w:rPr>
        <w:t xml:space="preserve"> of $</w:t>
      </w:r>
      <w:r w:rsidR="00934523" w:rsidRPr="009F28A9">
        <w:rPr>
          <w:rFonts w:cstheme="minorHAnsi"/>
        </w:rPr>
        <w:t>3</w:t>
      </w:r>
      <w:r w:rsidR="00314A64">
        <w:rPr>
          <w:rFonts w:cstheme="minorHAnsi"/>
        </w:rPr>
        <w:t>56.5</w:t>
      </w:r>
      <w:r w:rsidR="00643E40" w:rsidRPr="009F28A9">
        <w:rPr>
          <w:rFonts w:cstheme="minorHAnsi"/>
        </w:rPr>
        <w:t xml:space="preserve"> </w:t>
      </w:r>
      <w:r w:rsidR="005320B1" w:rsidRPr="009F28A9">
        <w:rPr>
          <w:rFonts w:cstheme="minorHAnsi"/>
        </w:rPr>
        <w:t>m</w:t>
      </w:r>
      <w:r w:rsidR="00643E40" w:rsidRPr="009F28A9">
        <w:rPr>
          <w:rFonts w:cstheme="minorHAnsi"/>
        </w:rPr>
        <w:t>illion</w:t>
      </w:r>
      <w:r w:rsidR="006541D8" w:rsidRPr="009F28A9">
        <w:rPr>
          <w:rFonts w:cstheme="minorHAnsi"/>
        </w:rPr>
        <w:t xml:space="preserve">. The Pre-Medicare Retiree Healthcare OPEB liability was measured as of June 30, </w:t>
      </w:r>
      <w:r w:rsidRPr="009F28A9">
        <w:rPr>
          <w:rFonts w:cstheme="minorHAnsi"/>
        </w:rPr>
        <w:t>202</w:t>
      </w:r>
      <w:r w:rsidR="00753369">
        <w:rPr>
          <w:rFonts w:cstheme="minorHAnsi"/>
        </w:rPr>
        <w:t>4</w:t>
      </w:r>
      <w:r w:rsidRPr="009F28A9">
        <w:rPr>
          <w:rFonts w:cstheme="minorHAnsi"/>
        </w:rPr>
        <w:t>,</w:t>
      </w:r>
      <w:r w:rsidR="004D2DCE" w:rsidRPr="009F28A9">
        <w:rPr>
          <w:rFonts w:cstheme="minorHAnsi"/>
        </w:rPr>
        <w:t xml:space="preserve"> </w:t>
      </w:r>
      <w:r w:rsidR="006541D8" w:rsidRPr="009F28A9">
        <w:rPr>
          <w:rFonts w:cstheme="minorHAnsi"/>
        </w:rPr>
        <w:t>and</w:t>
      </w:r>
      <w:r w:rsidR="00643E40" w:rsidRPr="009F28A9">
        <w:rPr>
          <w:rFonts w:cstheme="minorHAnsi"/>
        </w:rPr>
        <w:t xml:space="preserve"> was determined by an actuarial valuation as of </w:t>
      </w:r>
      <w:r w:rsidR="00B5589B" w:rsidRPr="009F28A9">
        <w:rPr>
          <w:rFonts w:cstheme="minorHAnsi"/>
        </w:rPr>
        <w:t>June 30</w:t>
      </w:r>
      <w:r w:rsidR="00643E40" w:rsidRPr="009F28A9">
        <w:rPr>
          <w:rFonts w:cstheme="minorHAnsi"/>
        </w:rPr>
        <w:t xml:space="preserve">, </w:t>
      </w:r>
      <w:r w:rsidR="004D2DCE" w:rsidRPr="009F28A9">
        <w:rPr>
          <w:rFonts w:cstheme="minorHAnsi"/>
        </w:rPr>
        <w:t>202</w:t>
      </w:r>
      <w:r w:rsidR="0029677D">
        <w:rPr>
          <w:rFonts w:cstheme="minorHAnsi"/>
        </w:rPr>
        <w:t>4</w:t>
      </w:r>
      <w:r w:rsidR="00643E40" w:rsidRPr="009F28A9">
        <w:rPr>
          <w:rFonts w:cstheme="minorHAnsi"/>
        </w:rPr>
        <w:t xml:space="preserve">. </w:t>
      </w:r>
      <w:r w:rsidR="00643E40" w:rsidRPr="009F28A9">
        <w:rPr>
          <w:rFonts w:eastAsia="Times New Roman" w:cstheme="minorHAnsi"/>
        </w:rPr>
        <w:t>The covered employer’s proportion of the</w:t>
      </w:r>
      <w:r w:rsidR="00643E40" w:rsidRPr="009F28A9">
        <w:rPr>
          <w:rFonts w:cstheme="minorHAnsi"/>
        </w:rPr>
        <w:t xml:space="preserve"> Pre-Medicare Retiree Healthcare OPEB liability was based on each employer’s </w:t>
      </w:r>
      <w:r w:rsidR="00AA6145" w:rsidRPr="009F28A9">
        <w:rPr>
          <w:rFonts w:cstheme="minorHAnsi"/>
        </w:rPr>
        <w:t xml:space="preserve">calculated </w:t>
      </w:r>
      <w:r w:rsidR="006C4C93" w:rsidRPr="009F28A9">
        <w:rPr>
          <w:rFonts w:cstheme="minorHAnsi"/>
        </w:rPr>
        <w:t xml:space="preserve">healthcare </w:t>
      </w:r>
      <w:r w:rsidR="00643E40" w:rsidRPr="009F28A9">
        <w:rPr>
          <w:rFonts w:cstheme="minorHAnsi"/>
        </w:rPr>
        <w:t>premium contributions</w:t>
      </w:r>
      <w:r w:rsidR="004813B6" w:rsidRPr="009F28A9">
        <w:rPr>
          <w:rFonts w:cstheme="minorHAnsi"/>
        </w:rPr>
        <w:t xml:space="preserve"> </w:t>
      </w:r>
      <w:r w:rsidR="00643E40" w:rsidRPr="009F28A9">
        <w:rPr>
          <w:rFonts w:cstheme="minorHAnsi"/>
        </w:rPr>
        <w:t xml:space="preserve">as a percentage of the total </w:t>
      </w:r>
      <w:r w:rsidR="006C4C93" w:rsidRPr="009F28A9">
        <w:rPr>
          <w:rFonts w:cstheme="minorHAnsi"/>
        </w:rPr>
        <w:t xml:space="preserve">employer’s </w:t>
      </w:r>
      <w:r w:rsidR="00AA6145" w:rsidRPr="009F28A9">
        <w:rPr>
          <w:rFonts w:cstheme="minorHAnsi"/>
        </w:rPr>
        <w:t xml:space="preserve">calculated </w:t>
      </w:r>
      <w:r w:rsidR="006C4C93" w:rsidRPr="009F28A9">
        <w:rPr>
          <w:rFonts w:cstheme="minorHAnsi"/>
        </w:rPr>
        <w:t xml:space="preserve">healthcare premium </w:t>
      </w:r>
      <w:r w:rsidR="00643E40" w:rsidRPr="009F28A9">
        <w:rPr>
          <w:rFonts w:cstheme="minorHAnsi"/>
        </w:rPr>
        <w:t>contributions</w:t>
      </w:r>
      <w:r w:rsidR="006C4C93" w:rsidRPr="009F28A9">
        <w:rPr>
          <w:rFonts w:cstheme="minorHAnsi"/>
        </w:rPr>
        <w:t xml:space="preserve"> for all participating employers. </w:t>
      </w:r>
      <w:r w:rsidRPr="009F28A9">
        <w:rPr>
          <w:rFonts w:cstheme="minorHAnsi"/>
        </w:rPr>
        <w:t>On</w:t>
      </w:r>
      <w:r w:rsidR="006C4C93" w:rsidRPr="009F28A9">
        <w:rPr>
          <w:rFonts w:cstheme="minorHAnsi"/>
        </w:rPr>
        <w:t xml:space="preserve"> June 30, </w:t>
      </w:r>
      <w:r w:rsidR="004D2DCE" w:rsidRPr="009F28A9">
        <w:rPr>
          <w:rFonts w:cstheme="minorHAnsi"/>
        </w:rPr>
        <w:t>202</w:t>
      </w:r>
      <w:r w:rsidR="00B86E9B">
        <w:rPr>
          <w:rFonts w:cstheme="minorHAnsi"/>
        </w:rPr>
        <w:t>4</w:t>
      </w:r>
      <w:r w:rsidR="006C4C93" w:rsidRPr="009F28A9">
        <w:rPr>
          <w:rFonts w:cstheme="minorHAnsi"/>
        </w:rPr>
        <w:t xml:space="preserve">, the participating employer’s proportion was </w:t>
      </w:r>
      <w:r w:rsidR="006C4C93" w:rsidRPr="009F28A9">
        <w:rPr>
          <w:rFonts w:cstheme="minorHAnsi"/>
          <w:highlight w:val="green"/>
        </w:rPr>
        <w:t>Appendix A Column B</w:t>
      </w:r>
      <w:r w:rsidR="006C4C93" w:rsidRPr="009F28A9">
        <w:rPr>
          <w:rFonts w:cstheme="minorHAnsi"/>
        </w:rPr>
        <w:t xml:space="preserve">% as compared to </w:t>
      </w:r>
      <w:r w:rsidR="006C4C93" w:rsidRPr="009F28A9">
        <w:rPr>
          <w:rFonts w:cstheme="minorHAnsi"/>
          <w:highlight w:val="green"/>
        </w:rPr>
        <w:t>Appendix A Column E</w:t>
      </w:r>
      <w:r w:rsidR="006C4C93" w:rsidRPr="009F28A9">
        <w:rPr>
          <w:rFonts w:cstheme="minorHAnsi"/>
        </w:rPr>
        <w:t xml:space="preserve">% </w:t>
      </w:r>
      <w:r w:rsidRPr="009F28A9">
        <w:rPr>
          <w:rFonts w:cstheme="minorHAnsi"/>
        </w:rPr>
        <w:t>on</w:t>
      </w:r>
      <w:r w:rsidR="006C4C93" w:rsidRPr="009F28A9">
        <w:rPr>
          <w:rFonts w:cstheme="minorHAnsi"/>
        </w:rPr>
        <w:t xml:space="preserve"> June 30, </w:t>
      </w:r>
      <w:r w:rsidR="004D2DCE" w:rsidRPr="009F28A9">
        <w:rPr>
          <w:rFonts w:cstheme="minorHAnsi"/>
        </w:rPr>
        <w:t>202</w:t>
      </w:r>
      <w:r w:rsidR="00314A64">
        <w:rPr>
          <w:rFonts w:cstheme="minorHAnsi"/>
        </w:rPr>
        <w:t>3</w:t>
      </w:r>
      <w:r w:rsidR="006C4C93" w:rsidRPr="009F28A9">
        <w:rPr>
          <w:rFonts w:cstheme="minorHAnsi"/>
        </w:rPr>
        <w:t>.</w:t>
      </w:r>
      <w:r w:rsidR="00B5589B" w:rsidRPr="009F28A9">
        <w:rPr>
          <w:rFonts w:cstheme="minorHAnsi"/>
        </w:rPr>
        <w:t xml:space="preserve"> </w:t>
      </w:r>
      <w:r w:rsidR="006C4C93" w:rsidRPr="009F28A9">
        <w:rPr>
          <w:rFonts w:cstheme="minorHAnsi"/>
        </w:rPr>
        <w:t xml:space="preserve"> For the year ended June 30, </w:t>
      </w:r>
      <w:r w:rsidR="0099352E">
        <w:rPr>
          <w:rFonts w:cstheme="minorHAnsi"/>
        </w:rPr>
        <w:t>2025</w:t>
      </w:r>
      <w:r w:rsidR="006C4C93" w:rsidRPr="009F28A9">
        <w:rPr>
          <w:rFonts w:cstheme="minorHAnsi"/>
        </w:rPr>
        <w:t>, the participating employer recognized Pre-Medicare Retiree Healthcare OPEB expense of $</w:t>
      </w:r>
      <w:r w:rsidR="006C4C93" w:rsidRPr="009F28A9">
        <w:rPr>
          <w:rFonts w:cstheme="minorHAnsi"/>
          <w:highlight w:val="green"/>
        </w:rPr>
        <w:t>Appendix B Column L</w:t>
      </w:r>
      <w:r w:rsidR="006C4C93" w:rsidRPr="009F28A9">
        <w:rPr>
          <w:rFonts w:cstheme="minorHAnsi"/>
        </w:rPr>
        <w:t xml:space="preserve">. </w:t>
      </w:r>
    </w:p>
    <w:p w14:paraId="7B73810E" w14:textId="3C3FD429" w:rsidR="002230B2" w:rsidRPr="009F28A9" w:rsidRDefault="002C5F95" w:rsidP="00A84CE9">
      <w:pPr>
        <w:pStyle w:val="AonBodyCopy"/>
        <w:spacing w:after="0" w:line="259" w:lineRule="auto"/>
        <w:rPr>
          <w:rFonts w:asciiTheme="minorHAnsi" w:hAnsiTheme="minorHAnsi" w:cstheme="minorHAnsi"/>
          <w:sz w:val="22"/>
          <w:szCs w:val="22"/>
        </w:rPr>
      </w:pPr>
      <w:r w:rsidRPr="009F28A9">
        <w:rPr>
          <w:rFonts w:asciiTheme="minorHAnsi" w:hAnsiTheme="minorHAnsi" w:cstheme="minorHAnsi"/>
          <w:sz w:val="22"/>
          <w:szCs w:val="22"/>
        </w:rPr>
        <w:t>On</w:t>
      </w:r>
      <w:r w:rsidR="00A71284" w:rsidRPr="009F28A9">
        <w:rPr>
          <w:rFonts w:asciiTheme="minorHAnsi" w:hAnsiTheme="minorHAnsi" w:cstheme="minorHAnsi"/>
          <w:sz w:val="22"/>
          <w:szCs w:val="22"/>
        </w:rPr>
        <w:t xml:space="preserve"> June 30, </w:t>
      </w:r>
      <w:r w:rsidR="0099352E">
        <w:rPr>
          <w:rFonts w:asciiTheme="minorHAnsi" w:hAnsiTheme="minorHAnsi" w:cstheme="minorHAnsi"/>
          <w:sz w:val="22"/>
          <w:szCs w:val="22"/>
        </w:rPr>
        <w:t>2025</w:t>
      </w:r>
      <w:r w:rsidR="00A71284" w:rsidRPr="009F28A9">
        <w:rPr>
          <w:rFonts w:asciiTheme="minorHAnsi" w:hAnsiTheme="minorHAnsi" w:cstheme="minorHAnsi"/>
          <w:sz w:val="22"/>
          <w:szCs w:val="22"/>
        </w:rPr>
        <w:t>, the employer reported deferred outflows o</w:t>
      </w:r>
      <w:r w:rsidR="007370EA" w:rsidRPr="009F28A9">
        <w:rPr>
          <w:rFonts w:asciiTheme="minorHAnsi" w:hAnsiTheme="minorHAnsi" w:cstheme="minorHAnsi"/>
          <w:sz w:val="22"/>
          <w:szCs w:val="22"/>
        </w:rPr>
        <w:t>f</w:t>
      </w:r>
      <w:r w:rsidR="00A71284" w:rsidRPr="009F28A9">
        <w:rPr>
          <w:rFonts w:asciiTheme="minorHAnsi" w:hAnsiTheme="minorHAnsi" w:cstheme="minorHAnsi"/>
          <w:sz w:val="22"/>
          <w:szCs w:val="22"/>
        </w:rPr>
        <w:t xml:space="preserve"> resources and deferred inflows of resources related to Pre-Medicare Retiree Healthcare from the following sources:</w:t>
      </w:r>
    </w:p>
    <w:p w14:paraId="7B73810F" w14:textId="77777777" w:rsidR="002230B2" w:rsidRPr="005A644E" w:rsidRDefault="002230B2" w:rsidP="002230B2">
      <w:pPr>
        <w:pStyle w:val="TableColumnHead"/>
        <w:tabs>
          <w:tab w:val="right" w:pos="7200"/>
          <w:tab w:val="right" w:pos="9270"/>
        </w:tabs>
        <w:rPr>
          <w:rFonts w:asciiTheme="minorHAnsi" w:hAnsiTheme="minorHAnsi" w:cstheme="minorHAnsi"/>
          <w:sz w:val="22"/>
          <w:szCs w:val="22"/>
        </w:rPr>
      </w:pPr>
      <w:r w:rsidRPr="00C3101C">
        <w:tab/>
      </w:r>
      <w:r w:rsidRPr="005A644E">
        <w:rPr>
          <w:rFonts w:asciiTheme="minorHAnsi" w:hAnsiTheme="minorHAnsi" w:cstheme="minorHAnsi"/>
          <w:sz w:val="22"/>
          <w:szCs w:val="22"/>
        </w:rPr>
        <w:t>Deferred</w:t>
      </w:r>
      <w:r w:rsidRPr="005A644E">
        <w:rPr>
          <w:rFonts w:asciiTheme="minorHAnsi" w:hAnsiTheme="minorHAnsi" w:cstheme="minorHAnsi"/>
          <w:sz w:val="22"/>
          <w:szCs w:val="22"/>
        </w:rPr>
        <w:tab/>
      </w:r>
      <w:proofErr w:type="spellStart"/>
      <w:r w:rsidRPr="005A644E">
        <w:rPr>
          <w:rFonts w:asciiTheme="minorHAnsi" w:hAnsiTheme="minorHAnsi" w:cstheme="minorHAnsi"/>
          <w:sz w:val="22"/>
          <w:szCs w:val="22"/>
        </w:rPr>
        <w:t>Deferred</w:t>
      </w:r>
      <w:proofErr w:type="spellEnd"/>
      <w:r w:rsidRPr="005A644E">
        <w:rPr>
          <w:rFonts w:asciiTheme="minorHAnsi" w:hAnsiTheme="minorHAnsi" w:cstheme="minorHAnsi"/>
          <w:sz w:val="22"/>
          <w:szCs w:val="22"/>
        </w:rPr>
        <w:br/>
      </w:r>
      <w:r w:rsidRPr="005A644E">
        <w:rPr>
          <w:rFonts w:asciiTheme="minorHAnsi" w:hAnsiTheme="minorHAnsi" w:cstheme="minorHAnsi"/>
          <w:sz w:val="22"/>
          <w:szCs w:val="22"/>
        </w:rPr>
        <w:tab/>
        <w:t>Outflows</w:t>
      </w:r>
      <w:r w:rsidRPr="005A644E">
        <w:rPr>
          <w:rFonts w:asciiTheme="minorHAnsi" w:hAnsiTheme="minorHAnsi" w:cstheme="minorHAnsi"/>
          <w:sz w:val="22"/>
          <w:szCs w:val="22"/>
        </w:rPr>
        <w:tab/>
        <w:t>Inflows</w:t>
      </w:r>
    </w:p>
    <w:p w14:paraId="7B738110" w14:textId="77777777" w:rsidR="002230B2" w:rsidRPr="005A644E" w:rsidRDefault="002230B2" w:rsidP="002230B2">
      <w:pPr>
        <w:tabs>
          <w:tab w:val="right" w:pos="9300"/>
        </w:tabs>
        <w:rPr>
          <w:rFonts w:cstheme="minorHAnsi"/>
          <w:u w:val="single"/>
        </w:rPr>
      </w:pPr>
      <w:r w:rsidRPr="005A644E">
        <w:rPr>
          <w:rFonts w:cstheme="minorHAnsi"/>
          <w:u w:val="single"/>
        </w:rPr>
        <w:tab/>
      </w:r>
    </w:p>
    <w:p w14:paraId="7B738111" w14:textId="37E7E886" w:rsidR="002230B2" w:rsidRPr="005A644E" w:rsidRDefault="002230B2" w:rsidP="00284A4D">
      <w:pPr>
        <w:pStyle w:val="Tablecopy"/>
        <w:tabs>
          <w:tab w:val="left" w:pos="5220"/>
          <w:tab w:val="left" w:pos="6120"/>
          <w:tab w:val="decimal" w:pos="7200"/>
          <w:tab w:val="left" w:pos="8280"/>
          <w:tab w:val="decimal" w:pos="9270"/>
        </w:tabs>
        <w:ind w:left="360" w:hanging="360"/>
        <w:rPr>
          <w:rFonts w:asciiTheme="minorHAnsi" w:hAnsiTheme="minorHAnsi" w:cstheme="minorHAnsi"/>
          <w:sz w:val="22"/>
          <w:szCs w:val="22"/>
        </w:rPr>
      </w:pPr>
      <w:r w:rsidRPr="005A644E">
        <w:rPr>
          <w:rFonts w:asciiTheme="minorHAnsi" w:hAnsiTheme="minorHAnsi" w:cstheme="minorHAnsi"/>
          <w:sz w:val="22"/>
          <w:szCs w:val="22"/>
        </w:rPr>
        <w:t>(1)</w:t>
      </w:r>
      <w:r w:rsidRPr="005A644E">
        <w:rPr>
          <w:rFonts w:asciiTheme="minorHAnsi" w:hAnsiTheme="minorHAnsi" w:cstheme="minorHAnsi"/>
          <w:sz w:val="22"/>
          <w:szCs w:val="22"/>
        </w:rPr>
        <w:tab/>
        <w:t xml:space="preserve">Difference </w:t>
      </w:r>
      <w:r w:rsidR="00284A4D" w:rsidRPr="005A644E">
        <w:rPr>
          <w:rFonts w:asciiTheme="minorHAnsi" w:hAnsiTheme="minorHAnsi" w:cstheme="minorHAnsi"/>
          <w:sz w:val="22"/>
          <w:szCs w:val="22"/>
        </w:rPr>
        <w:t>between</w:t>
      </w:r>
      <w:r w:rsidR="00A17DCE" w:rsidRP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a</w:t>
      </w:r>
      <w:r w:rsidR="00A17DCE" w:rsidRPr="005A644E">
        <w:rPr>
          <w:rFonts w:asciiTheme="minorHAnsi" w:hAnsiTheme="minorHAnsi" w:cstheme="minorHAnsi"/>
          <w:sz w:val="22"/>
          <w:szCs w:val="22"/>
        </w:rPr>
        <w:t xml:space="preserve">ctual and </w:t>
      </w:r>
      <w:r w:rsidR="00284A4D" w:rsidRPr="005A644E">
        <w:rPr>
          <w:rFonts w:asciiTheme="minorHAnsi" w:hAnsiTheme="minorHAnsi" w:cstheme="minorHAnsi"/>
          <w:sz w:val="22"/>
          <w:szCs w:val="22"/>
        </w:rPr>
        <w:t>e</w:t>
      </w:r>
      <w:r w:rsidR="00A17DCE" w:rsidRPr="005A644E">
        <w:rPr>
          <w:rFonts w:asciiTheme="minorHAnsi" w:hAnsiTheme="minorHAnsi" w:cstheme="minorHAnsi"/>
          <w:sz w:val="22"/>
          <w:szCs w:val="22"/>
        </w:rPr>
        <w:t xml:space="preserve">xpected </w:t>
      </w:r>
      <w:r w:rsidR="00284A4D" w:rsidRPr="005A644E">
        <w:rPr>
          <w:rFonts w:asciiTheme="minorHAnsi" w:hAnsiTheme="minorHAnsi" w:cstheme="minorHAnsi"/>
          <w:sz w:val="22"/>
          <w:szCs w:val="22"/>
        </w:rPr>
        <w:t>e</w:t>
      </w:r>
      <w:r w:rsidR="00A17DCE" w:rsidRPr="005A644E">
        <w:rPr>
          <w:rFonts w:asciiTheme="minorHAnsi" w:hAnsiTheme="minorHAnsi" w:cstheme="minorHAnsi"/>
          <w:sz w:val="22"/>
          <w:szCs w:val="22"/>
        </w:rPr>
        <w:t xml:space="preserve">xperience   </w:t>
      </w:r>
      <w:r w:rsidR="00284A4D" w:rsidRPr="005A644E">
        <w:rPr>
          <w:rFonts w:asciiTheme="minorHAnsi" w:hAnsiTheme="minorHAnsi" w:cstheme="minorHAnsi"/>
          <w:sz w:val="22"/>
          <w:szCs w:val="22"/>
        </w:rPr>
        <w:t xml:space="preserve"> $</w:t>
      </w:r>
      <w:r w:rsidR="00A17DCE" w:rsidRPr="005A644E">
        <w:rPr>
          <w:rFonts w:asciiTheme="minorHAnsi" w:hAnsiTheme="minorHAnsi" w:cstheme="minorHAnsi"/>
          <w:sz w:val="22"/>
          <w:szCs w:val="22"/>
          <w:highlight w:val="green"/>
        </w:rPr>
        <w:t>Appendix E</w:t>
      </w:r>
      <w:r w:rsidRPr="005A644E">
        <w:rPr>
          <w:rFonts w:asciiTheme="minorHAnsi" w:hAnsiTheme="minorHAnsi" w:cstheme="minorHAnsi"/>
          <w:sz w:val="22"/>
          <w:szCs w:val="22"/>
          <w:highlight w:val="green"/>
        </w:rPr>
        <w:tab/>
      </w:r>
      <w:r w:rsidR="00A17DCE" w:rsidRPr="005A644E">
        <w:rPr>
          <w:rFonts w:asciiTheme="minorHAnsi" w:hAnsiTheme="minorHAnsi" w:cstheme="minorHAnsi"/>
          <w:sz w:val="22"/>
          <w:szCs w:val="22"/>
          <w:highlight w:val="green"/>
        </w:rPr>
        <w:t xml:space="preserve"> Column C</w:t>
      </w:r>
      <w:r w:rsidR="00A17DCE" w:rsidRPr="005A644E">
        <w:rPr>
          <w:rFonts w:asciiTheme="minorHAnsi" w:hAnsiTheme="minorHAnsi" w:cstheme="minorHAnsi"/>
          <w:sz w:val="22"/>
          <w:szCs w:val="22"/>
        </w:rPr>
        <w:t xml:space="preserve">   </w:t>
      </w:r>
      <w:r w:rsidR="005A644E" w:rsidRP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w:t>
      </w:r>
      <w:r w:rsidR="00A17DCE" w:rsidRPr="005A644E">
        <w:rPr>
          <w:rFonts w:asciiTheme="minorHAnsi" w:hAnsiTheme="minorHAnsi" w:cstheme="minorHAnsi"/>
          <w:sz w:val="22"/>
          <w:szCs w:val="22"/>
          <w:highlight w:val="green"/>
        </w:rPr>
        <w:t>Appendix E Column H</w:t>
      </w:r>
    </w:p>
    <w:p w14:paraId="7B738112" w14:textId="4A305D4C" w:rsidR="002230B2" w:rsidRPr="005A644E" w:rsidRDefault="00A17DCE" w:rsidP="00284A4D">
      <w:pPr>
        <w:pStyle w:val="Tablecopy"/>
        <w:tabs>
          <w:tab w:val="left" w:pos="5220"/>
          <w:tab w:val="left" w:pos="6120"/>
          <w:tab w:val="decimal" w:pos="7200"/>
          <w:tab w:val="left" w:pos="8280"/>
          <w:tab w:val="decimal" w:pos="9270"/>
        </w:tabs>
        <w:ind w:left="360" w:hanging="360"/>
        <w:rPr>
          <w:rFonts w:asciiTheme="minorHAnsi" w:hAnsiTheme="minorHAnsi" w:cstheme="minorHAnsi"/>
          <w:sz w:val="22"/>
          <w:szCs w:val="22"/>
        </w:rPr>
      </w:pPr>
      <w:r w:rsidRPr="005A644E">
        <w:rPr>
          <w:rFonts w:asciiTheme="minorHAnsi" w:hAnsiTheme="minorHAnsi" w:cstheme="minorHAnsi"/>
          <w:sz w:val="22"/>
          <w:szCs w:val="22"/>
        </w:rPr>
        <w:t>(</w:t>
      </w:r>
      <w:r w:rsidR="005F4F08" w:rsidRPr="005A644E">
        <w:rPr>
          <w:rFonts w:asciiTheme="minorHAnsi" w:hAnsiTheme="minorHAnsi" w:cstheme="minorHAnsi"/>
          <w:sz w:val="22"/>
          <w:szCs w:val="22"/>
        </w:rPr>
        <w:t>2</w:t>
      </w:r>
      <w:r w:rsidRPr="005A644E">
        <w:rPr>
          <w:rFonts w:asciiTheme="minorHAnsi" w:hAnsiTheme="minorHAnsi" w:cstheme="minorHAnsi"/>
          <w:sz w:val="22"/>
          <w:szCs w:val="22"/>
        </w:rPr>
        <w:t>)</w:t>
      </w:r>
      <w:r w:rsidRPr="005A644E">
        <w:rPr>
          <w:rFonts w:asciiTheme="minorHAnsi" w:hAnsiTheme="minorHAnsi" w:cstheme="minorHAnsi"/>
          <w:sz w:val="22"/>
          <w:szCs w:val="22"/>
        </w:rPr>
        <w:tab/>
      </w:r>
      <w:r w:rsidR="00284A4D" w:rsidRPr="005A644E">
        <w:rPr>
          <w:rFonts w:asciiTheme="minorHAnsi" w:hAnsiTheme="minorHAnsi" w:cstheme="minorHAnsi"/>
          <w:sz w:val="22"/>
          <w:szCs w:val="22"/>
        </w:rPr>
        <w:t xml:space="preserve">Changes in </w:t>
      </w:r>
      <w:r w:rsidR="00382080" w:rsidRPr="005A644E">
        <w:rPr>
          <w:rFonts w:asciiTheme="minorHAnsi" w:hAnsiTheme="minorHAnsi" w:cstheme="minorHAnsi"/>
          <w:sz w:val="22"/>
          <w:szCs w:val="22"/>
        </w:rPr>
        <w:t>a</w:t>
      </w:r>
      <w:r w:rsidRPr="005A644E">
        <w:rPr>
          <w:rFonts w:asciiTheme="minorHAnsi" w:hAnsiTheme="minorHAnsi" w:cstheme="minorHAnsi"/>
          <w:sz w:val="22"/>
          <w:szCs w:val="22"/>
        </w:rPr>
        <w:t>ssumption</w:t>
      </w:r>
      <w:r w:rsidR="00284A4D" w:rsidRPr="005A644E">
        <w:rPr>
          <w:rFonts w:asciiTheme="minorHAnsi" w:hAnsiTheme="minorHAnsi" w:cstheme="minorHAnsi"/>
          <w:sz w:val="22"/>
          <w:szCs w:val="22"/>
        </w:rPr>
        <w:t>s</w:t>
      </w:r>
      <w:r w:rsidRPr="005A644E">
        <w:rPr>
          <w:rFonts w:asciiTheme="minorHAnsi" w:hAnsiTheme="minorHAnsi" w:cstheme="minorHAnsi"/>
          <w:sz w:val="22"/>
          <w:szCs w:val="22"/>
        </w:rPr>
        <w:t xml:space="preserve">                                            </w:t>
      </w:r>
      <w:r w:rsidR="00245E1B" w:rsidRPr="005A644E">
        <w:rPr>
          <w:rFonts w:asciiTheme="minorHAnsi" w:hAnsiTheme="minorHAnsi" w:cstheme="minorHAnsi"/>
          <w:sz w:val="22"/>
          <w:szCs w:val="22"/>
        </w:rPr>
        <w:t xml:space="preserve">   </w:t>
      </w:r>
      <w:r w:rsidRP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 xml:space="preserve">  </w:t>
      </w:r>
      <w:proofErr w:type="gramStart"/>
      <w:r w:rsidR="005A644E" w:rsidRPr="005A644E">
        <w:rPr>
          <w:rFonts w:asciiTheme="minorHAnsi" w:hAnsiTheme="minorHAnsi" w:cstheme="minorHAnsi"/>
          <w:sz w:val="22"/>
          <w:szCs w:val="22"/>
        </w:rPr>
        <w:tab/>
        <w:t xml:space="preserve">  </w:t>
      </w:r>
      <w:r w:rsidRPr="005A644E">
        <w:rPr>
          <w:rFonts w:asciiTheme="minorHAnsi" w:hAnsiTheme="minorHAnsi" w:cstheme="minorHAnsi"/>
          <w:sz w:val="22"/>
          <w:szCs w:val="22"/>
          <w:highlight w:val="green"/>
        </w:rPr>
        <w:t>Appendix</w:t>
      </w:r>
      <w:proofErr w:type="gramEnd"/>
      <w:r w:rsidRPr="005A644E">
        <w:rPr>
          <w:rFonts w:asciiTheme="minorHAnsi" w:hAnsiTheme="minorHAnsi" w:cstheme="minorHAnsi"/>
          <w:sz w:val="22"/>
          <w:szCs w:val="22"/>
          <w:highlight w:val="green"/>
        </w:rPr>
        <w:t xml:space="preserve"> E</w:t>
      </w:r>
      <w:r w:rsidRPr="005A644E">
        <w:rPr>
          <w:rFonts w:asciiTheme="minorHAnsi" w:hAnsiTheme="minorHAnsi" w:cstheme="minorHAnsi"/>
          <w:sz w:val="22"/>
          <w:szCs w:val="22"/>
          <w:highlight w:val="green"/>
        </w:rPr>
        <w:tab/>
        <w:t xml:space="preserve"> Column E</w:t>
      </w:r>
      <w:r w:rsidRPr="005A644E">
        <w:rPr>
          <w:rFonts w:asciiTheme="minorHAnsi" w:hAnsiTheme="minorHAnsi" w:cstheme="minorHAnsi"/>
          <w:sz w:val="22"/>
          <w:szCs w:val="22"/>
        </w:rPr>
        <w:t xml:space="preserve">  </w:t>
      </w:r>
      <w:r w:rsidR="00245E1B" w:rsidRPr="005A644E">
        <w:rPr>
          <w:rFonts w:asciiTheme="minorHAnsi" w:hAnsiTheme="minorHAnsi" w:cstheme="minorHAnsi"/>
          <w:sz w:val="22"/>
          <w:szCs w:val="22"/>
        </w:rPr>
        <w:t xml:space="preserve"> </w:t>
      </w:r>
      <w:r w:rsidRP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 xml:space="preserve"> </w:t>
      </w:r>
      <w:r w:rsidR="005A644E" w:rsidRPr="005A644E">
        <w:rPr>
          <w:rFonts w:asciiTheme="minorHAnsi" w:hAnsiTheme="minorHAnsi" w:cstheme="minorHAnsi"/>
          <w:sz w:val="22"/>
          <w:szCs w:val="22"/>
        </w:rPr>
        <w:t xml:space="preserve">  </w:t>
      </w:r>
      <w:r w:rsidRPr="005A644E">
        <w:rPr>
          <w:rFonts w:asciiTheme="minorHAnsi" w:hAnsiTheme="minorHAnsi" w:cstheme="minorHAnsi"/>
          <w:sz w:val="22"/>
          <w:szCs w:val="22"/>
          <w:highlight w:val="green"/>
        </w:rPr>
        <w:t>Appendix E Column J</w:t>
      </w:r>
    </w:p>
    <w:p w14:paraId="7B738114" w14:textId="69464399" w:rsidR="00A17DCE" w:rsidRDefault="00A17DCE" w:rsidP="00284A4D">
      <w:pPr>
        <w:pStyle w:val="Tablecopy"/>
        <w:tabs>
          <w:tab w:val="left" w:pos="5220"/>
          <w:tab w:val="left" w:pos="6120"/>
          <w:tab w:val="decimal" w:pos="7200"/>
          <w:tab w:val="left" w:pos="8280"/>
          <w:tab w:val="decimal" w:pos="9270"/>
        </w:tabs>
        <w:ind w:left="360" w:hanging="360"/>
        <w:rPr>
          <w:rFonts w:asciiTheme="minorHAnsi" w:hAnsiTheme="minorHAnsi" w:cstheme="minorHAnsi"/>
          <w:sz w:val="22"/>
          <w:szCs w:val="22"/>
        </w:rPr>
      </w:pPr>
      <w:r w:rsidRPr="005A644E">
        <w:rPr>
          <w:rFonts w:asciiTheme="minorHAnsi" w:hAnsiTheme="minorHAnsi" w:cstheme="minorHAnsi"/>
          <w:sz w:val="22"/>
          <w:szCs w:val="22"/>
        </w:rPr>
        <w:t>(</w:t>
      </w:r>
      <w:r w:rsidR="005F4F08" w:rsidRPr="005A644E">
        <w:rPr>
          <w:rFonts w:asciiTheme="minorHAnsi" w:hAnsiTheme="minorHAnsi" w:cstheme="minorHAnsi"/>
          <w:sz w:val="22"/>
          <w:szCs w:val="22"/>
        </w:rPr>
        <w:t>3</w:t>
      </w:r>
      <w:proofErr w:type="gramStart"/>
      <w:r w:rsidRP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 xml:space="preserve"> </w:t>
      </w:r>
      <w:r w:rsidRPr="005A644E">
        <w:rPr>
          <w:rFonts w:asciiTheme="minorHAnsi" w:hAnsiTheme="minorHAnsi" w:cstheme="minorHAnsi"/>
          <w:sz w:val="22"/>
          <w:szCs w:val="22"/>
        </w:rPr>
        <w:t>Changes</w:t>
      </w:r>
      <w:proofErr w:type="gramEnd"/>
      <w:r w:rsidRPr="005A644E">
        <w:rPr>
          <w:rFonts w:asciiTheme="minorHAnsi" w:hAnsiTheme="minorHAnsi" w:cstheme="minorHAnsi"/>
          <w:sz w:val="22"/>
          <w:szCs w:val="22"/>
        </w:rPr>
        <w:t xml:space="preserve"> in </w:t>
      </w:r>
      <w:r w:rsidR="00382080" w:rsidRPr="005A644E">
        <w:rPr>
          <w:rFonts w:asciiTheme="minorHAnsi" w:hAnsiTheme="minorHAnsi" w:cstheme="minorHAnsi"/>
          <w:sz w:val="22"/>
          <w:szCs w:val="22"/>
        </w:rPr>
        <w:t>p</w:t>
      </w:r>
      <w:r w:rsidRPr="005A644E">
        <w:rPr>
          <w:rFonts w:asciiTheme="minorHAnsi" w:hAnsiTheme="minorHAnsi" w:cstheme="minorHAnsi"/>
          <w:sz w:val="22"/>
          <w:szCs w:val="22"/>
        </w:rPr>
        <w:t xml:space="preserve">roportion                                               </w:t>
      </w:r>
      <w:r w:rsidR="00245E1B" w:rsidRP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 xml:space="preserve"> </w:t>
      </w:r>
      <w:r w:rsidRPr="005A644E">
        <w:rPr>
          <w:rFonts w:asciiTheme="minorHAnsi" w:hAnsiTheme="minorHAnsi" w:cstheme="minorHAnsi"/>
          <w:sz w:val="22"/>
          <w:szCs w:val="22"/>
        </w:rPr>
        <w:t xml:space="preserve">  </w:t>
      </w:r>
      <w:r w:rsidR="005A644E">
        <w:rPr>
          <w:rFonts w:asciiTheme="minorHAnsi" w:hAnsiTheme="minorHAnsi" w:cstheme="minorHAnsi"/>
          <w:sz w:val="22"/>
          <w:szCs w:val="22"/>
        </w:rPr>
        <w:t xml:space="preserve">      </w:t>
      </w:r>
      <w:r w:rsidRPr="005A644E">
        <w:rPr>
          <w:rFonts w:asciiTheme="minorHAnsi" w:hAnsiTheme="minorHAnsi" w:cstheme="minorHAnsi"/>
          <w:sz w:val="22"/>
          <w:szCs w:val="22"/>
          <w:highlight w:val="green"/>
        </w:rPr>
        <w:t>Appendix E</w:t>
      </w:r>
      <w:r w:rsidRPr="005A644E">
        <w:rPr>
          <w:rFonts w:asciiTheme="minorHAnsi" w:hAnsiTheme="minorHAnsi" w:cstheme="minorHAnsi"/>
          <w:sz w:val="22"/>
          <w:szCs w:val="22"/>
          <w:highlight w:val="green"/>
        </w:rPr>
        <w:tab/>
        <w:t xml:space="preserve"> Column F</w:t>
      </w:r>
      <w:r w:rsidRP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 xml:space="preserve">  </w:t>
      </w:r>
      <w:r w:rsidR="005A644E">
        <w:rPr>
          <w:rFonts w:asciiTheme="minorHAnsi" w:hAnsiTheme="minorHAnsi" w:cstheme="minorHAnsi"/>
          <w:sz w:val="22"/>
          <w:szCs w:val="22"/>
        </w:rPr>
        <w:t xml:space="preserve">  </w:t>
      </w:r>
      <w:r w:rsidRPr="005A644E">
        <w:rPr>
          <w:rFonts w:asciiTheme="minorHAnsi" w:hAnsiTheme="minorHAnsi" w:cstheme="minorHAnsi"/>
          <w:sz w:val="22"/>
          <w:szCs w:val="22"/>
          <w:highlight w:val="green"/>
        </w:rPr>
        <w:t>Appendix E Column K</w:t>
      </w:r>
    </w:p>
    <w:p w14:paraId="479C30B4" w14:textId="5FE38300" w:rsidR="00FA5F21" w:rsidRPr="005A644E" w:rsidRDefault="00FA5F21" w:rsidP="00284A4D">
      <w:pPr>
        <w:pStyle w:val="Tablecopy"/>
        <w:tabs>
          <w:tab w:val="left" w:pos="5220"/>
          <w:tab w:val="left" w:pos="6120"/>
          <w:tab w:val="decimal" w:pos="7200"/>
          <w:tab w:val="left" w:pos="8280"/>
          <w:tab w:val="decimal" w:pos="9270"/>
        </w:tabs>
        <w:ind w:left="360" w:hanging="360"/>
        <w:rPr>
          <w:rFonts w:asciiTheme="minorHAnsi" w:hAnsiTheme="minorHAnsi" w:cstheme="minorHAnsi"/>
          <w:sz w:val="22"/>
          <w:szCs w:val="22"/>
        </w:rPr>
      </w:pPr>
      <w:r>
        <w:rPr>
          <w:rFonts w:asciiTheme="minorHAnsi" w:hAnsiTheme="minorHAnsi" w:cstheme="minorHAnsi"/>
          <w:sz w:val="22"/>
          <w:szCs w:val="22"/>
        </w:rPr>
        <w:t>(4)  Rounding Adjustment</w:t>
      </w:r>
      <w:r>
        <w:rPr>
          <w:rFonts w:asciiTheme="minorHAnsi" w:hAnsiTheme="minorHAnsi" w:cstheme="minorHAnsi"/>
          <w:sz w:val="22"/>
          <w:szCs w:val="22"/>
        </w:rPr>
        <w:tab/>
      </w:r>
      <w:r>
        <w:rPr>
          <w:rFonts w:asciiTheme="minorHAnsi" w:hAnsiTheme="minorHAnsi" w:cstheme="minorHAnsi"/>
          <w:sz w:val="22"/>
          <w:szCs w:val="22"/>
        </w:rPr>
        <w:tab/>
      </w:r>
      <w:r w:rsidRPr="00FA5F21">
        <w:rPr>
          <w:rFonts w:asciiTheme="minorHAnsi" w:hAnsiTheme="minorHAnsi" w:cstheme="minorHAnsi"/>
          <w:sz w:val="22"/>
          <w:szCs w:val="22"/>
          <w:highlight w:val="green"/>
        </w:rPr>
        <w:t>Calculated</w:t>
      </w:r>
      <w:r>
        <w:rPr>
          <w:rFonts w:asciiTheme="minorHAnsi" w:hAnsiTheme="minorHAnsi" w:cstheme="minorHAnsi"/>
          <w:sz w:val="22"/>
          <w:szCs w:val="22"/>
        </w:rPr>
        <w:tab/>
      </w:r>
      <w:r>
        <w:rPr>
          <w:rFonts w:asciiTheme="minorHAnsi" w:hAnsiTheme="minorHAnsi" w:cstheme="minorHAnsi"/>
          <w:sz w:val="22"/>
          <w:szCs w:val="22"/>
        </w:rPr>
        <w:tab/>
      </w:r>
      <w:proofErr w:type="spellStart"/>
      <w:r w:rsidRPr="00FA5F21">
        <w:rPr>
          <w:rFonts w:asciiTheme="minorHAnsi" w:hAnsiTheme="minorHAnsi" w:cstheme="minorHAnsi"/>
          <w:sz w:val="22"/>
          <w:szCs w:val="22"/>
          <w:highlight w:val="green"/>
        </w:rPr>
        <w:t>Calculated</w:t>
      </w:r>
      <w:proofErr w:type="spellEnd"/>
    </w:p>
    <w:p w14:paraId="7B738116" w14:textId="0E8A1871" w:rsidR="002230B2" w:rsidRPr="005A644E" w:rsidRDefault="00A17DCE" w:rsidP="005A644E">
      <w:pPr>
        <w:pStyle w:val="Tablecopy"/>
        <w:tabs>
          <w:tab w:val="left" w:pos="5220"/>
          <w:tab w:val="left" w:pos="6120"/>
          <w:tab w:val="decimal" w:pos="7200"/>
          <w:tab w:val="left" w:pos="8280"/>
          <w:tab w:val="decimal" w:pos="9270"/>
        </w:tabs>
        <w:ind w:left="360" w:hanging="360"/>
        <w:rPr>
          <w:rFonts w:asciiTheme="minorHAnsi" w:hAnsiTheme="minorHAnsi" w:cstheme="minorHAnsi"/>
          <w:sz w:val="22"/>
          <w:szCs w:val="22"/>
          <w:u w:val="single"/>
        </w:rPr>
      </w:pPr>
      <w:r w:rsidRPr="005A644E">
        <w:rPr>
          <w:rFonts w:asciiTheme="minorHAnsi" w:hAnsiTheme="minorHAnsi" w:cstheme="minorHAnsi"/>
          <w:sz w:val="22"/>
          <w:szCs w:val="22"/>
        </w:rPr>
        <w:t>(</w:t>
      </w:r>
      <w:r w:rsidR="00FA5F21">
        <w:rPr>
          <w:rFonts w:asciiTheme="minorHAnsi" w:hAnsiTheme="minorHAnsi" w:cstheme="minorHAnsi"/>
          <w:sz w:val="22"/>
          <w:szCs w:val="22"/>
        </w:rPr>
        <w:t>5</w:t>
      </w:r>
      <w:r w:rsidRPr="005A644E">
        <w:rPr>
          <w:rFonts w:asciiTheme="minorHAnsi" w:hAnsiTheme="minorHAnsi" w:cstheme="minorHAnsi"/>
          <w:sz w:val="22"/>
          <w:szCs w:val="22"/>
        </w:rPr>
        <w:t>)</w:t>
      </w:r>
      <w:r w:rsidRPr="005A644E">
        <w:rPr>
          <w:rFonts w:asciiTheme="minorHAnsi" w:hAnsiTheme="minorHAnsi" w:cstheme="minorHAnsi"/>
          <w:sz w:val="22"/>
          <w:szCs w:val="22"/>
        </w:rPr>
        <w:tab/>
        <w:t xml:space="preserve">Sub Total                                                                     </w:t>
      </w:r>
      <w:r w:rsidR="00245E1B" w:rsidRPr="005A644E">
        <w:rPr>
          <w:rFonts w:asciiTheme="minorHAnsi" w:hAnsiTheme="minorHAnsi" w:cstheme="minorHAnsi"/>
          <w:sz w:val="22"/>
          <w:szCs w:val="22"/>
        </w:rPr>
        <w:t xml:space="preserve">   </w:t>
      </w:r>
      <w:r w:rsidRP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 xml:space="preserve"> </w:t>
      </w:r>
      <w:r w:rsidR="005A644E">
        <w:rPr>
          <w:rFonts w:asciiTheme="minorHAnsi" w:hAnsiTheme="minorHAnsi" w:cstheme="minorHAnsi"/>
          <w:sz w:val="22"/>
          <w:szCs w:val="22"/>
        </w:rPr>
        <w:t xml:space="preserve">      </w:t>
      </w:r>
      <w:r w:rsidR="00301CB6">
        <w:rPr>
          <w:rFonts w:asciiTheme="minorHAnsi" w:hAnsiTheme="minorHAnsi" w:cstheme="minorHAnsi"/>
          <w:sz w:val="22"/>
          <w:szCs w:val="22"/>
        </w:rPr>
        <w:t>$</w:t>
      </w:r>
      <w:r w:rsidRPr="005A644E">
        <w:rPr>
          <w:rFonts w:asciiTheme="minorHAnsi" w:hAnsiTheme="minorHAnsi" w:cstheme="minorHAnsi"/>
          <w:sz w:val="22"/>
          <w:szCs w:val="22"/>
          <w:highlight w:val="green"/>
          <w:u w:val="single"/>
        </w:rPr>
        <w:t>Appendix E</w:t>
      </w:r>
      <w:r w:rsidRPr="005A644E">
        <w:rPr>
          <w:rFonts w:asciiTheme="minorHAnsi" w:hAnsiTheme="minorHAnsi" w:cstheme="minorHAnsi"/>
          <w:sz w:val="22"/>
          <w:szCs w:val="22"/>
          <w:highlight w:val="green"/>
          <w:u w:val="single"/>
        </w:rPr>
        <w:tab/>
        <w:t xml:space="preserve"> Column G</w:t>
      </w:r>
      <w:r w:rsidRPr="005A644E">
        <w:rPr>
          <w:rFonts w:asciiTheme="minorHAnsi" w:hAnsiTheme="minorHAnsi" w:cstheme="minorHAnsi"/>
          <w:sz w:val="22"/>
          <w:szCs w:val="22"/>
        </w:rPr>
        <w:t xml:space="preserve">   </w:t>
      </w:r>
      <w:r w:rsidR="005A644E">
        <w:rPr>
          <w:rFonts w:asciiTheme="minorHAnsi" w:hAnsiTheme="minorHAnsi" w:cstheme="minorHAnsi"/>
          <w:sz w:val="22"/>
          <w:szCs w:val="22"/>
        </w:rPr>
        <w:t xml:space="preserve">  </w:t>
      </w:r>
      <w:r w:rsidR="00284A4D" w:rsidRPr="005A644E">
        <w:rPr>
          <w:rFonts w:asciiTheme="minorHAnsi" w:hAnsiTheme="minorHAnsi" w:cstheme="minorHAnsi"/>
          <w:sz w:val="22"/>
          <w:szCs w:val="22"/>
        </w:rPr>
        <w:t xml:space="preserve"> </w:t>
      </w:r>
      <w:r w:rsidR="00301CB6">
        <w:rPr>
          <w:rFonts w:asciiTheme="minorHAnsi" w:hAnsiTheme="minorHAnsi" w:cstheme="minorHAnsi"/>
          <w:sz w:val="22"/>
          <w:szCs w:val="22"/>
        </w:rPr>
        <w:t>$</w:t>
      </w:r>
      <w:r w:rsidRPr="005A644E">
        <w:rPr>
          <w:rFonts w:asciiTheme="minorHAnsi" w:hAnsiTheme="minorHAnsi" w:cstheme="minorHAnsi"/>
          <w:sz w:val="22"/>
          <w:szCs w:val="22"/>
          <w:highlight w:val="green"/>
          <w:u w:val="single"/>
        </w:rPr>
        <w:t xml:space="preserve">Appendix E Column </w:t>
      </w:r>
      <w:r w:rsidR="0067326B" w:rsidRPr="005A644E">
        <w:rPr>
          <w:rFonts w:asciiTheme="minorHAnsi" w:hAnsiTheme="minorHAnsi" w:cstheme="minorHAnsi"/>
          <w:sz w:val="22"/>
          <w:szCs w:val="22"/>
          <w:highlight w:val="green"/>
          <w:u w:val="single"/>
        </w:rPr>
        <w:t>L</w:t>
      </w:r>
    </w:p>
    <w:p w14:paraId="61B72554" w14:textId="16A551E1" w:rsidR="00284A4D" w:rsidRPr="005A644E" w:rsidRDefault="002230B2" w:rsidP="00284A4D">
      <w:pPr>
        <w:pStyle w:val="Tablecopy"/>
        <w:tabs>
          <w:tab w:val="left" w:pos="5220"/>
          <w:tab w:val="left" w:pos="6120"/>
          <w:tab w:val="right" w:pos="7380"/>
          <w:tab w:val="left" w:pos="8280"/>
          <w:tab w:val="decimal" w:pos="9270"/>
        </w:tabs>
        <w:ind w:left="360" w:hanging="360"/>
        <w:rPr>
          <w:rFonts w:asciiTheme="minorHAnsi" w:hAnsiTheme="minorHAnsi" w:cstheme="minorHAnsi"/>
          <w:sz w:val="22"/>
          <w:szCs w:val="22"/>
        </w:rPr>
      </w:pPr>
      <w:r w:rsidRPr="005A644E">
        <w:rPr>
          <w:rFonts w:asciiTheme="minorHAnsi" w:hAnsiTheme="minorHAnsi" w:cstheme="minorHAnsi"/>
          <w:sz w:val="22"/>
          <w:szCs w:val="22"/>
        </w:rPr>
        <w:t>(</w:t>
      </w:r>
      <w:r w:rsidR="00FA5F21">
        <w:rPr>
          <w:rFonts w:asciiTheme="minorHAnsi" w:hAnsiTheme="minorHAnsi" w:cstheme="minorHAnsi"/>
          <w:sz w:val="22"/>
          <w:szCs w:val="22"/>
        </w:rPr>
        <w:t>6</w:t>
      </w:r>
      <w:r w:rsidRPr="005A644E">
        <w:rPr>
          <w:rFonts w:asciiTheme="minorHAnsi" w:hAnsiTheme="minorHAnsi" w:cstheme="minorHAnsi"/>
          <w:sz w:val="22"/>
          <w:szCs w:val="22"/>
        </w:rPr>
        <w:t>)</w:t>
      </w:r>
      <w:r w:rsidRPr="005A644E">
        <w:rPr>
          <w:rFonts w:asciiTheme="minorHAnsi" w:hAnsiTheme="minorHAnsi" w:cstheme="minorHAnsi"/>
          <w:sz w:val="22"/>
          <w:szCs w:val="22"/>
        </w:rPr>
        <w:tab/>
      </w:r>
      <w:r w:rsidR="00284A4D" w:rsidRPr="005A644E">
        <w:rPr>
          <w:rFonts w:asciiTheme="minorHAnsi" w:hAnsiTheme="minorHAnsi" w:cstheme="minorHAnsi"/>
          <w:sz w:val="22"/>
          <w:szCs w:val="22"/>
        </w:rPr>
        <w:t xml:space="preserve">Amounts associated with transactions </w:t>
      </w:r>
    </w:p>
    <w:p w14:paraId="7B738117" w14:textId="61EC4458" w:rsidR="002230B2" w:rsidRPr="005A644E" w:rsidRDefault="00284A4D" w:rsidP="00284A4D">
      <w:pPr>
        <w:pStyle w:val="Tablecopy"/>
        <w:tabs>
          <w:tab w:val="left" w:pos="5220"/>
          <w:tab w:val="left" w:pos="6120"/>
          <w:tab w:val="right" w:pos="7380"/>
          <w:tab w:val="left" w:pos="8280"/>
          <w:tab w:val="decimal" w:pos="9270"/>
        </w:tabs>
        <w:ind w:left="360" w:hanging="360"/>
        <w:rPr>
          <w:rFonts w:asciiTheme="minorHAnsi" w:hAnsiTheme="minorHAnsi" w:cstheme="minorHAnsi"/>
          <w:sz w:val="22"/>
          <w:szCs w:val="22"/>
        </w:rPr>
      </w:pPr>
      <w:r w:rsidRPr="005A644E">
        <w:rPr>
          <w:rFonts w:asciiTheme="minorHAnsi" w:hAnsiTheme="minorHAnsi" w:cstheme="minorHAnsi"/>
          <w:sz w:val="22"/>
          <w:szCs w:val="22"/>
        </w:rPr>
        <w:tab/>
      </w:r>
      <w:proofErr w:type="gramStart"/>
      <w:r w:rsidRPr="005A644E">
        <w:rPr>
          <w:rFonts w:asciiTheme="minorHAnsi" w:hAnsiTheme="minorHAnsi" w:cstheme="minorHAnsi"/>
          <w:sz w:val="22"/>
          <w:szCs w:val="22"/>
        </w:rPr>
        <w:t>subsequent to</w:t>
      </w:r>
      <w:proofErr w:type="gramEnd"/>
      <w:r w:rsidRPr="005A644E">
        <w:rPr>
          <w:rFonts w:asciiTheme="minorHAnsi" w:hAnsiTheme="minorHAnsi" w:cstheme="minorHAnsi"/>
          <w:sz w:val="22"/>
          <w:szCs w:val="22"/>
        </w:rPr>
        <w:t xml:space="preserve"> the</w:t>
      </w:r>
      <w:r w:rsidR="002230B2" w:rsidRPr="005A644E">
        <w:rPr>
          <w:rFonts w:asciiTheme="minorHAnsi" w:hAnsiTheme="minorHAnsi" w:cstheme="minorHAnsi"/>
          <w:sz w:val="22"/>
          <w:szCs w:val="22"/>
        </w:rPr>
        <w:t xml:space="preserve"> </w:t>
      </w:r>
      <w:r w:rsidRPr="005A644E">
        <w:rPr>
          <w:rFonts w:asciiTheme="minorHAnsi" w:hAnsiTheme="minorHAnsi" w:cstheme="minorHAnsi"/>
          <w:sz w:val="22"/>
          <w:szCs w:val="22"/>
        </w:rPr>
        <w:t>m</w:t>
      </w:r>
      <w:r w:rsidR="002230B2" w:rsidRPr="005A644E">
        <w:rPr>
          <w:rFonts w:asciiTheme="minorHAnsi" w:hAnsiTheme="minorHAnsi" w:cstheme="minorHAnsi"/>
          <w:sz w:val="22"/>
          <w:szCs w:val="22"/>
        </w:rPr>
        <w:t xml:space="preserve">easurement </w:t>
      </w:r>
      <w:r w:rsidRPr="005A644E">
        <w:rPr>
          <w:rFonts w:asciiTheme="minorHAnsi" w:hAnsiTheme="minorHAnsi" w:cstheme="minorHAnsi"/>
          <w:sz w:val="22"/>
          <w:szCs w:val="22"/>
        </w:rPr>
        <w:t>d</w:t>
      </w:r>
      <w:r w:rsidR="002230B2" w:rsidRPr="005A644E">
        <w:rPr>
          <w:rFonts w:asciiTheme="minorHAnsi" w:hAnsiTheme="minorHAnsi" w:cstheme="minorHAnsi"/>
          <w:sz w:val="22"/>
          <w:szCs w:val="22"/>
        </w:rPr>
        <w:t>at</w:t>
      </w:r>
      <w:r w:rsidR="00245E1B" w:rsidRPr="005A644E">
        <w:rPr>
          <w:rFonts w:asciiTheme="minorHAnsi" w:hAnsiTheme="minorHAnsi" w:cstheme="minorHAnsi"/>
          <w:sz w:val="22"/>
          <w:szCs w:val="22"/>
        </w:rPr>
        <w:t xml:space="preserve">e                              </w:t>
      </w:r>
      <w:r w:rsidR="00C32133" w:rsidRPr="005A644E">
        <w:rPr>
          <w:rFonts w:asciiTheme="minorHAnsi" w:hAnsiTheme="minorHAnsi" w:cstheme="minorHAnsi"/>
          <w:sz w:val="22"/>
          <w:szCs w:val="22"/>
          <w:highlight w:val="green"/>
          <w:u w:val="single"/>
        </w:rPr>
        <w:t xml:space="preserve">Appendix H Column </w:t>
      </w:r>
      <w:r w:rsidR="0077499E" w:rsidRPr="005A644E">
        <w:rPr>
          <w:rFonts w:asciiTheme="minorHAnsi" w:hAnsiTheme="minorHAnsi" w:cstheme="minorHAnsi"/>
          <w:sz w:val="22"/>
          <w:szCs w:val="22"/>
          <w:highlight w:val="green"/>
          <w:u w:val="single"/>
        </w:rPr>
        <w:t>B</w:t>
      </w:r>
      <w:r w:rsidR="00245E1B" w:rsidRPr="005A644E">
        <w:rPr>
          <w:rFonts w:asciiTheme="minorHAnsi" w:hAnsiTheme="minorHAnsi" w:cstheme="minorHAnsi"/>
          <w:sz w:val="22"/>
          <w:szCs w:val="22"/>
        </w:rPr>
        <w:t xml:space="preserve"> </w:t>
      </w:r>
      <w:r w:rsidR="00301CB6">
        <w:rPr>
          <w:rFonts w:asciiTheme="minorHAnsi" w:hAnsiTheme="minorHAnsi" w:cstheme="minorHAnsi"/>
          <w:sz w:val="22"/>
          <w:szCs w:val="22"/>
        </w:rPr>
        <w:tab/>
      </w:r>
      <w:r w:rsidR="00245E1B" w:rsidRPr="005A644E">
        <w:rPr>
          <w:rFonts w:asciiTheme="minorHAnsi" w:hAnsiTheme="minorHAnsi" w:cstheme="minorHAnsi"/>
          <w:sz w:val="22"/>
          <w:szCs w:val="22"/>
        </w:rPr>
        <w:t xml:space="preserve"> </w:t>
      </w:r>
      <w:r w:rsidR="00301CB6">
        <w:rPr>
          <w:rFonts w:asciiTheme="minorHAnsi" w:hAnsiTheme="minorHAnsi" w:cstheme="minorHAnsi"/>
          <w:sz w:val="22"/>
          <w:szCs w:val="22"/>
          <w:u w:val="single"/>
        </w:rPr>
        <w:tab/>
      </w:r>
      <w:r w:rsidR="00245E1B" w:rsidRPr="005A644E">
        <w:rPr>
          <w:rFonts w:asciiTheme="minorHAnsi" w:hAnsiTheme="minorHAnsi" w:cstheme="minorHAnsi"/>
          <w:sz w:val="22"/>
          <w:szCs w:val="22"/>
          <w:u w:val="single"/>
        </w:rPr>
        <w:t xml:space="preserve">           </w:t>
      </w:r>
      <w:r w:rsidRPr="005A644E">
        <w:rPr>
          <w:rFonts w:asciiTheme="minorHAnsi" w:hAnsiTheme="minorHAnsi" w:cstheme="minorHAnsi"/>
          <w:sz w:val="22"/>
          <w:szCs w:val="22"/>
          <w:u w:val="single"/>
        </w:rPr>
        <w:t xml:space="preserve">   </w:t>
      </w:r>
      <w:r w:rsidR="00245E1B" w:rsidRPr="005A644E">
        <w:rPr>
          <w:rFonts w:asciiTheme="minorHAnsi" w:hAnsiTheme="minorHAnsi" w:cstheme="minorHAnsi"/>
          <w:sz w:val="22"/>
          <w:szCs w:val="22"/>
          <w:u w:val="single"/>
        </w:rPr>
        <w:t xml:space="preserve">  </w:t>
      </w:r>
      <w:r w:rsidR="002230B2" w:rsidRPr="005A644E">
        <w:rPr>
          <w:rFonts w:asciiTheme="minorHAnsi" w:hAnsiTheme="minorHAnsi" w:cstheme="minorHAnsi"/>
          <w:sz w:val="22"/>
          <w:szCs w:val="22"/>
          <w:u w:val="single"/>
        </w:rPr>
        <w:t>N/A</w:t>
      </w:r>
    </w:p>
    <w:p w14:paraId="7B738118" w14:textId="556C6E85" w:rsidR="002230B2" w:rsidRPr="004813B6" w:rsidRDefault="007370EA" w:rsidP="005A644E">
      <w:pPr>
        <w:pStyle w:val="Tablecopy"/>
        <w:tabs>
          <w:tab w:val="left" w:pos="5220"/>
          <w:tab w:val="left" w:pos="6120"/>
          <w:tab w:val="decimal" w:pos="7200"/>
          <w:tab w:val="left" w:pos="8280"/>
          <w:tab w:val="decimal" w:pos="9270"/>
        </w:tabs>
        <w:spacing w:before="0" w:after="160" w:line="259" w:lineRule="auto"/>
        <w:ind w:hanging="360"/>
        <w:jc w:val="both"/>
        <w:rPr>
          <w:rFonts w:asciiTheme="minorHAnsi" w:hAnsiTheme="minorHAnsi" w:cstheme="minorHAnsi"/>
          <w:sz w:val="22"/>
          <w:szCs w:val="22"/>
          <w:lang w:val="es-ES"/>
        </w:rPr>
      </w:pPr>
      <w:r>
        <w:rPr>
          <w:rFonts w:asciiTheme="minorHAnsi" w:hAnsiTheme="minorHAnsi" w:cstheme="minorHAnsi"/>
          <w:sz w:val="22"/>
          <w:szCs w:val="22"/>
        </w:rPr>
        <w:t xml:space="preserve">       </w:t>
      </w:r>
      <w:r w:rsidR="0067326B" w:rsidRPr="004813B6">
        <w:rPr>
          <w:rFonts w:asciiTheme="minorHAnsi" w:hAnsiTheme="minorHAnsi" w:cstheme="minorHAnsi"/>
          <w:sz w:val="22"/>
          <w:szCs w:val="22"/>
          <w:lang w:val="es-ES"/>
        </w:rPr>
        <w:t>(</w:t>
      </w:r>
      <w:r w:rsidR="00FA5F21" w:rsidRPr="004813B6">
        <w:rPr>
          <w:rFonts w:asciiTheme="minorHAnsi" w:hAnsiTheme="minorHAnsi" w:cstheme="minorHAnsi"/>
          <w:sz w:val="22"/>
          <w:szCs w:val="22"/>
          <w:lang w:val="es-ES"/>
        </w:rPr>
        <w:t>7</w:t>
      </w:r>
      <w:r w:rsidR="0067326B" w:rsidRPr="004813B6">
        <w:rPr>
          <w:rFonts w:asciiTheme="minorHAnsi" w:hAnsiTheme="minorHAnsi" w:cstheme="minorHAnsi"/>
          <w:sz w:val="22"/>
          <w:szCs w:val="22"/>
          <w:lang w:val="es-ES"/>
        </w:rPr>
        <w:t>)</w:t>
      </w:r>
      <w:r w:rsidRPr="004813B6">
        <w:rPr>
          <w:rFonts w:asciiTheme="minorHAnsi" w:hAnsiTheme="minorHAnsi" w:cstheme="minorHAnsi"/>
          <w:sz w:val="22"/>
          <w:szCs w:val="22"/>
          <w:lang w:val="es-ES"/>
        </w:rPr>
        <w:t xml:space="preserve">  </w:t>
      </w:r>
      <w:r w:rsidR="0067326B" w:rsidRPr="004813B6">
        <w:rPr>
          <w:rFonts w:asciiTheme="minorHAnsi" w:hAnsiTheme="minorHAnsi" w:cstheme="minorHAnsi"/>
          <w:sz w:val="22"/>
          <w:szCs w:val="22"/>
          <w:lang w:val="es-ES"/>
        </w:rPr>
        <w:t xml:space="preserve">Total                                                                                  </w:t>
      </w:r>
      <w:r w:rsidR="005A644E" w:rsidRPr="004813B6">
        <w:rPr>
          <w:rFonts w:asciiTheme="minorHAnsi" w:hAnsiTheme="minorHAnsi" w:cstheme="minorHAnsi"/>
          <w:sz w:val="22"/>
          <w:szCs w:val="22"/>
          <w:lang w:val="es-ES"/>
        </w:rPr>
        <w:t xml:space="preserve">      </w:t>
      </w:r>
      <w:r w:rsidR="0067326B" w:rsidRPr="004813B6">
        <w:rPr>
          <w:rFonts w:asciiTheme="minorHAnsi" w:hAnsiTheme="minorHAnsi" w:cstheme="minorHAnsi"/>
          <w:sz w:val="22"/>
          <w:szCs w:val="22"/>
          <w:lang w:val="es-ES"/>
        </w:rPr>
        <w:t xml:space="preserve"> </w:t>
      </w:r>
      <w:r w:rsidR="00A71284" w:rsidRPr="004813B6">
        <w:rPr>
          <w:rFonts w:asciiTheme="minorHAnsi" w:hAnsiTheme="minorHAnsi" w:cstheme="minorHAnsi"/>
          <w:sz w:val="22"/>
          <w:szCs w:val="22"/>
          <w:u w:val="double"/>
          <w:lang w:val="es-ES"/>
        </w:rPr>
        <w:t xml:space="preserve"> </w:t>
      </w:r>
      <w:r w:rsidR="00242A9A" w:rsidRPr="004813B6">
        <w:rPr>
          <w:rFonts w:asciiTheme="minorHAnsi" w:hAnsiTheme="minorHAnsi" w:cstheme="minorHAnsi"/>
          <w:sz w:val="22"/>
          <w:szCs w:val="22"/>
          <w:u w:val="double"/>
          <w:lang w:val="es-ES"/>
        </w:rPr>
        <w:t>$</w:t>
      </w:r>
      <w:r w:rsidR="00A71284" w:rsidRPr="004813B6">
        <w:rPr>
          <w:rFonts w:asciiTheme="minorHAnsi" w:hAnsiTheme="minorHAnsi" w:cstheme="minorHAnsi"/>
          <w:sz w:val="22"/>
          <w:szCs w:val="22"/>
          <w:u w:val="double"/>
          <w:lang w:val="es-ES"/>
        </w:rPr>
        <w:t xml:space="preserve">     </w:t>
      </w:r>
      <w:r w:rsidR="005A644E" w:rsidRPr="004813B6">
        <w:rPr>
          <w:rFonts w:asciiTheme="minorHAnsi" w:hAnsiTheme="minorHAnsi" w:cstheme="minorHAnsi"/>
          <w:sz w:val="22"/>
          <w:szCs w:val="22"/>
          <w:u w:val="double"/>
          <w:lang w:val="es-ES"/>
        </w:rPr>
        <w:t xml:space="preserve">    </w:t>
      </w:r>
      <w:r w:rsidR="00A71284" w:rsidRPr="004813B6">
        <w:rPr>
          <w:rFonts w:asciiTheme="minorHAnsi" w:hAnsiTheme="minorHAnsi" w:cstheme="minorHAnsi"/>
          <w:sz w:val="22"/>
          <w:szCs w:val="22"/>
          <w:u w:val="double"/>
          <w:lang w:val="es-ES"/>
        </w:rPr>
        <w:t xml:space="preserve"> </w:t>
      </w:r>
      <w:proofErr w:type="spellStart"/>
      <w:r w:rsidR="00342492" w:rsidRPr="004813B6">
        <w:rPr>
          <w:rFonts w:asciiTheme="minorHAnsi" w:hAnsiTheme="minorHAnsi" w:cstheme="minorHAnsi"/>
          <w:sz w:val="22"/>
          <w:szCs w:val="22"/>
          <w:highlight w:val="green"/>
          <w:u w:val="double"/>
          <w:lang w:val="es-ES"/>
        </w:rPr>
        <w:t>Calculated</w:t>
      </w:r>
      <w:proofErr w:type="spellEnd"/>
      <w:r w:rsidR="00242A9A" w:rsidRPr="004813B6">
        <w:rPr>
          <w:rFonts w:asciiTheme="minorHAnsi" w:hAnsiTheme="minorHAnsi" w:cstheme="minorHAnsi"/>
          <w:sz w:val="22"/>
          <w:szCs w:val="22"/>
          <w:u w:val="double"/>
          <w:lang w:val="es-ES"/>
        </w:rPr>
        <w:t xml:space="preserve">          </w:t>
      </w:r>
      <w:r w:rsidR="00284A4D" w:rsidRPr="004813B6">
        <w:rPr>
          <w:rFonts w:asciiTheme="minorHAnsi" w:hAnsiTheme="minorHAnsi" w:cstheme="minorHAnsi"/>
          <w:sz w:val="22"/>
          <w:szCs w:val="22"/>
          <w:lang w:val="es-ES"/>
        </w:rPr>
        <w:t xml:space="preserve">  </w:t>
      </w:r>
      <w:r w:rsidR="005A644E" w:rsidRPr="004813B6">
        <w:rPr>
          <w:rFonts w:asciiTheme="minorHAnsi" w:hAnsiTheme="minorHAnsi" w:cstheme="minorHAnsi"/>
          <w:sz w:val="22"/>
          <w:szCs w:val="22"/>
          <w:lang w:val="es-ES"/>
        </w:rPr>
        <w:t xml:space="preserve">  </w:t>
      </w:r>
      <w:r w:rsidR="0067326B" w:rsidRPr="004813B6">
        <w:rPr>
          <w:rFonts w:asciiTheme="minorHAnsi" w:hAnsiTheme="minorHAnsi" w:cstheme="minorHAnsi"/>
          <w:sz w:val="22"/>
          <w:szCs w:val="22"/>
          <w:lang w:val="es-ES"/>
        </w:rPr>
        <w:t xml:space="preserve"> </w:t>
      </w:r>
      <w:r w:rsidR="00242A9A" w:rsidRPr="004813B6">
        <w:rPr>
          <w:rFonts w:asciiTheme="minorHAnsi" w:hAnsiTheme="minorHAnsi" w:cstheme="minorHAnsi"/>
          <w:sz w:val="22"/>
          <w:szCs w:val="22"/>
          <w:lang w:val="es-ES"/>
        </w:rPr>
        <w:t>$</w:t>
      </w:r>
      <w:proofErr w:type="spellStart"/>
      <w:r w:rsidR="0067326B" w:rsidRPr="004813B6">
        <w:rPr>
          <w:rFonts w:asciiTheme="minorHAnsi" w:hAnsiTheme="minorHAnsi" w:cstheme="minorHAnsi"/>
          <w:sz w:val="22"/>
          <w:szCs w:val="22"/>
          <w:highlight w:val="green"/>
          <w:u w:val="double"/>
          <w:lang w:val="es-ES"/>
        </w:rPr>
        <w:t>Appendix</w:t>
      </w:r>
      <w:proofErr w:type="spellEnd"/>
      <w:r w:rsidR="0067326B" w:rsidRPr="004813B6">
        <w:rPr>
          <w:rFonts w:asciiTheme="minorHAnsi" w:hAnsiTheme="minorHAnsi" w:cstheme="minorHAnsi"/>
          <w:sz w:val="22"/>
          <w:szCs w:val="22"/>
          <w:highlight w:val="green"/>
          <w:u w:val="double"/>
          <w:lang w:val="es-ES"/>
        </w:rPr>
        <w:t xml:space="preserve"> E </w:t>
      </w:r>
      <w:proofErr w:type="spellStart"/>
      <w:r w:rsidR="0067326B" w:rsidRPr="004813B6">
        <w:rPr>
          <w:rFonts w:asciiTheme="minorHAnsi" w:hAnsiTheme="minorHAnsi" w:cstheme="minorHAnsi"/>
          <w:sz w:val="22"/>
          <w:szCs w:val="22"/>
          <w:highlight w:val="green"/>
          <w:u w:val="double"/>
          <w:lang w:val="es-ES"/>
        </w:rPr>
        <w:t>Column</w:t>
      </w:r>
      <w:proofErr w:type="spellEnd"/>
      <w:r w:rsidR="0067326B" w:rsidRPr="004813B6">
        <w:rPr>
          <w:rFonts w:asciiTheme="minorHAnsi" w:hAnsiTheme="minorHAnsi" w:cstheme="minorHAnsi"/>
          <w:sz w:val="22"/>
          <w:szCs w:val="22"/>
          <w:highlight w:val="green"/>
          <w:u w:val="double"/>
          <w:lang w:val="es-ES"/>
        </w:rPr>
        <w:t xml:space="preserve"> L</w:t>
      </w:r>
      <w:r w:rsidR="002230B2" w:rsidRPr="004813B6">
        <w:rPr>
          <w:rFonts w:asciiTheme="minorHAnsi" w:hAnsiTheme="minorHAnsi" w:cstheme="minorHAnsi"/>
          <w:sz w:val="22"/>
          <w:szCs w:val="22"/>
          <w:lang w:val="es-ES"/>
        </w:rPr>
        <w:br/>
      </w:r>
    </w:p>
    <w:p w14:paraId="7B738121" w14:textId="0B464418" w:rsidR="002230B2" w:rsidRPr="005A644E" w:rsidRDefault="00051A9D" w:rsidP="00A84CE9">
      <w:pPr>
        <w:pStyle w:val="pf0"/>
        <w:rPr>
          <w:rFonts w:asciiTheme="minorHAnsi" w:hAnsiTheme="minorHAnsi" w:cstheme="minorHAnsi"/>
          <w:sz w:val="22"/>
          <w:szCs w:val="22"/>
        </w:rPr>
      </w:pPr>
      <w:r w:rsidRPr="009F28A9">
        <w:rPr>
          <w:rStyle w:val="cf01"/>
          <w:rFonts w:asciiTheme="minorHAnsi" w:hAnsiTheme="minorHAnsi" w:cstheme="minorHAnsi"/>
          <w:sz w:val="22"/>
          <w:szCs w:val="22"/>
        </w:rPr>
        <w:t xml:space="preserve">Deferred outflows of resources related to the Pre-Medicare Retiree Healthcare OPEB resulting from amounts associated with transactions </w:t>
      </w:r>
      <w:proofErr w:type="gramStart"/>
      <w:r w:rsidRPr="009F28A9">
        <w:rPr>
          <w:rStyle w:val="cf01"/>
          <w:rFonts w:asciiTheme="minorHAnsi" w:hAnsiTheme="minorHAnsi" w:cstheme="minorHAnsi"/>
          <w:sz w:val="22"/>
          <w:szCs w:val="22"/>
        </w:rPr>
        <w:t>subsequent to</w:t>
      </w:r>
      <w:proofErr w:type="gramEnd"/>
      <w:r w:rsidRPr="009F28A9">
        <w:rPr>
          <w:rStyle w:val="cf01"/>
          <w:rFonts w:asciiTheme="minorHAnsi" w:hAnsiTheme="minorHAnsi" w:cstheme="minorHAnsi"/>
          <w:sz w:val="22"/>
          <w:szCs w:val="22"/>
        </w:rPr>
        <w:t xml:space="preserve"> the measurement date were </w:t>
      </w:r>
      <w:r w:rsidRPr="00B577FC">
        <w:rPr>
          <w:rStyle w:val="cf11"/>
          <w:rFonts w:asciiTheme="minorHAnsi" w:hAnsiTheme="minorHAnsi" w:cstheme="minorHAnsi"/>
          <w:sz w:val="22"/>
          <w:szCs w:val="22"/>
          <w:highlight w:val="green"/>
        </w:rPr>
        <w:t>$ Appendix H Column B</w:t>
      </w:r>
      <w:r w:rsidRPr="00B577FC">
        <w:rPr>
          <w:rStyle w:val="cf01"/>
          <w:rFonts w:asciiTheme="minorHAnsi" w:hAnsiTheme="minorHAnsi" w:cstheme="minorHAnsi"/>
          <w:sz w:val="22"/>
          <w:szCs w:val="22"/>
          <w:highlight w:val="green"/>
        </w:rPr>
        <w:t>.</w:t>
      </w:r>
      <w:r w:rsidRPr="009F28A9">
        <w:rPr>
          <w:rStyle w:val="cf01"/>
          <w:rFonts w:asciiTheme="minorHAnsi" w:hAnsiTheme="minorHAnsi" w:cstheme="minorHAnsi"/>
          <w:sz w:val="22"/>
          <w:szCs w:val="22"/>
        </w:rPr>
        <w:t xml:space="preserve"> These amounts will be recognized as a reduction of the total OPEB liability in the fiscal year ending June 30, </w:t>
      </w:r>
      <w:r w:rsidR="0099352E">
        <w:rPr>
          <w:rStyle w:val="cf01"/>
          <w:rFonts w:asciiTheme="minorHAnsi" w:hAnsiTheme="minorHAnsi" w:cstheme="minorHAnsi"/>
          <w:sz w:val="22"/>
          <w:szCs w:val="22"/>
        </w:rPr>
        <w:t>202</w:t>
      </w:r>
      <w:r w:rsidR="00816011">
        <w:rPr>
          <w:rStyle w:val="cf01"/>
          <w:rFonts w:asciiTheme="minorHAnsi" w:hAnsiTheme="minorHAnsi" w:cstheme="minorHAnsi"/>
          <w:sz w:val="22"/>
          <w:szCs w:val="22"/>
        </w:rPr>
        <w:t>6</w:t>
      </w:r>
      <w:r w:rsidRPr="009F28A9">
        <w:rPr>
          <w:rStyle w:val="cf01"/>
          <w:rFonts w:asciiTheme="minorHAnsi" w:hAnsiTheme="minorHAnsi" w:cstheme="minorHAnsi"/>
          <w:sz w:val="22"/>
          <w:szCs w:val="22"/>
        </w:rPr>
        <w:t>.</w:t>
      </w:r>
      <w:r w:rsidR="009F28A9" w:rsidRPr="009F28A9" w:rsidDel="009F28A9">
        <w:rPr>
          <w:rStyle w:val="cf01"/>
          <w:rFonts w:asciiTheme="minorHAnsi" w:hAnsiTheme="minorHAnsi" w:cstheme="minorHAnsi"/>
          <w:sz w:val="22"/>
          <w:szCs w:val="22"/>
        </w:rPr>
        <w:t xml:space="preserve"> </w:t>
      </w:r>
      <w:r w:rsidR="00045FFA">
        <w:rPr>
          <w:rStyle w:val="cf01"/>
          <w:rFonts w:asciiTheme="minorHAnsi" w:hAnsiTheme="minorHAnsi" w:cstheme="minorHAnsi"/>
          <w:sz w:val="22"/>
          <w:szCs w:val="22"/>
        </w:rPr>
        <w:t xml:space="preserve"> </w:t>
      </w:r>
      <w:r w:rsidR="00262416" w:rsidRPr="005A644E">
        <w:rPr>
          <w:rFonts w:asciiTheme="minorHAnsi" w:hAnsiTheme="minorHAnsi" w:cstheme="minorHAnsi"/>
          <w:sz w:val="22"/>
          <w:szCs w:val="22"/>
        </w:rPr>
        <w:t>Other a</w:t>
      </w:r>
      <w:r w:rsidR="002230B2" w:rsidRPr="005A644E">
        <w:rPr>
          <w:rFonts w:asciiTheme="minorHAnsi" w:hAnsiTheme="minorHAnsi" w:cstheme="minorHAnsi"/>
          <w:sz w:val="22"/>
          <w:szCs w:val="22"/>
        </w:rPr>
        <w:t>mount</w:t>
      </w:r>
      <w:r w:rsidR="00262416" w:rsidRPr="005A644E">
        <w:rPr>
          <w:rFonts w:asciiTheme="minorHAnsi" w:hAnsiTheme="minorHAnsi" w:cstheme="minorHAnsi"/>
          <w:sz w:val="22"/>
          <w:szCs w:val="22"/>
        </w:rPr>
        <w:t>s reported as</w:t>
      </w:r>
      <w:r w:rsidR="002230B2" w:rsidRPr="005A644E">
        <w:rPr>
          <w:rFonts w:asciiTheme="minorHAnsi" w:hAnsiTheme="minorHAnsi" w:cstheme="minorHAnsi"/>
          <w:sz w:val="22"/>
          <w:szCs w:val="22"/>
        </w:rPr>
        <w:t xml:space="preserve"> deferred outflows of resources and deferred inflows of resources related to </w:t>
      </w:r>
      <w:r w:rsidR="00382080" w:rsidRPr="005A644E">
        <w:rPr>
          <w:rFonts w:asciiTheme="minorHAnsi" w:hAnsiTheme="minorHAnsi" w:cstheme="minorHAnsi"/>
          <w:sz w:val="22"/>
          <w:szCs w:val="22"/>
        </w:rPr>
        <w:t xml:space="preserve">the Pre-Medicare Retiree Healthcare </w:t>
      </w:r>
      <w:r w:rsidR="002230B2" w:rsidRPr="005A644E">
        <w:rPr>
          <w:rFonts w:asciiTheme="minorHAnsi" w:hAnsiTheme="minorHAnsi" w:cstheme="minorHAnsi"/>
          <w:sz w:val="22"/>
          <w:szCs w:val="22"/>
        </w:rPr>
        <w:t xml:space="preserve">OPEB will be recognized in the </w:t>
      </w:r>
      <w:r w:rsidR="00262416" w:rsidRPr="005A644E">
        <w:rPr>
          <w:rFonts w:asciiTheme="minorHAnsi" w:hAnsiTheme="minorHAnsi" w:cstheme="minorHAnsi"/>
          <w:sz w:val="22"/>
          <w:szCs w:val="22"/>
        </w:rPr>
        <w:t xml:space="preserve">Pre-Medicare Retiree Healthcare </w:t>
      </w:r>
      <w:r w:rsidR="002230B2" w:rsidRPr="005A644E">
        <w:rPr>
          <w:rFonts w:asciiTheme="minorHAnsi" w:hAnsiTheme="minorHAnsi" w:cstheme="minorHAnsi"/>
          <w:sz w:val="22"/>
          <w:szCs w:val="22"/>
        </w:rPr>
        <w:t xml:space="preserve">OPEB expense </w:t>
      </w:r>
      <w:r w:rsidR="00D115E4" w:rsidRPr="005A644E">
        <w:rPr>
          <w:rFonts w:asciiTheme="minorHAnsi" w:hAnsiTheme="minorHAnsi" w:cstheme="minorHAnsi"/>
          <w:sz w:val="22"/>
          <w:szCs w:val="22"/>
        </w:rPr>
        <w:t>as follows</w:t>
      </w:r>
      <w:r w:rsidR="00363F69" w:rsidRPr="005A644E">
        <w:rPr>
          <w:rFonts w:asciiTheme="minorHAnsi" w:hAnsiTheme="minorHAnsi" w:cstheme="minorHAnsi"/>
          <w:sz w:val="22"/>
          <w:szCs w:val="22"/>
        </w:rPr>
        <w:t>:</w:t>
      </w:r>
    </w:p>
    <w:p w14:paraId="740DD34A" w14:textId="77777777" w:rsidR="00B5589B" w:rsidRDefault="00B5589B" w:rsidP="00B5589B">
      <w:pPr>
        <w:pStyle w:val="AonTableTitle"/>
        <w:spacing w:after="0" w:line="259" w:lineRule="auto"/>
        <w:rPr>
          <w:rFonts w:cs="Arial"/>
        </w:rPr>
      </w:pPr>
    </w:p>
    <w:p w14:paraId="7B738122" w14:textId="5267D2C6" w:rsidR="002230B2" w:rsidRPr="005A644E" w:rsidRDefault="002230B2" w:rsidP="00B5589B">
      <w:pPr>
        <w:pStyle w:val="AonTableTitle"/>
        <w:spacing w:after="0" w:line="259" w:lineRule="auto"/>
        <w:rPr>
          <w:rFonts w:asciiTheme="minorHAnsi" w:hAnsiTheme="minorHAnsi" w:cstheme="minorHAnsi"/>
          <w:sz w:val="22"/>
          <w:szCs w:val="22"/>
        </w:rPr>
      </w:pPr>
      <w:r w:rsidRPr="005A644E">
        <w:rPr>
          <w:rFonts w:asciiTheme="minorHAnsi" w:hAnsiTheme="minorHAnsi" w:cstheme="minorHAnsi"/>
          <w:sz w:val="22"/>
          <w:szCs w:val="22"/>
        </w:rPr>
        <w:t>Year End June 30:</w:t>
      </w:r>
    </w:p>
    <w:p w14:paraId="7B738123" w14:textId="2D597F40" w:rsidR="002230B2" w:rsidRPr="005A644E" w:rsidRDefault="004D2DCE" w:rsidP="00B5589B">
      <w:pPr>
        <w:pStyle w:val="AonBodyCopy"/>
        <w:tabs>
          <w:tab w:val="left" w:pos="2340"/>
          <w:tab w:val="decimal" w:pos="3600"/>
        </w:tabs>
        <w:spacing w:after="0" w:line="259" w:lineRule="auto"/>
        <w:rPr>
          <w:rFonts w:asciiTheme="minorHAnsi" w:hAnsiTheme="minorHAnsi" w:cstheme="minorHAnsi"/>
          <w:sz w:val="22"/>
          <w:szCs w:val="22"/>
        </w:rPr>
      </w:pPr>
      <w:r w:rsidRPr="005A644E">
        <w:rPr>
          <w:rFonts w:asciiTheme="minorHAnsi" w:hAnsiTheme="minorHAnsi" w:cstheme="minorHAnsi"/>
          <w:sz w:val="22"/>
          <w:szCs w:val="22"/>
        </w:rPr>
        <w:t>20</w:t>
      </w:r>
      <w:r>
        <w:rPr>
          <w:rFonts w:asciiTheme="minorHAnsi" w:hAnsiTheme="minorHAnsi" w:cstheme="minorHAnsi"/>
          <w:sz w:val="22"/>
          <w:szCs w:val="22"/>
        </w:rPr>
        <w:t>2</w:t>
      </w:r>
      <w:r w:rsidR="00E759F8">
        <w:rPr>
          <w:rFonts w:asciiTheme="minorHAnsi" w:hAnsiTheme="minorHAnsi" w:cstheme="minorHAnsi"/>
          <w:sz w:val="22"/>
          <w:szCs w:val="22"/>
        </w:rPr>
        <w:t>6</w:t>
      </w:r>
      <w:r w:rsidR="0067326B" w:rsidRPr="005A644E">
        <w:rPr>
          <w:rFonts w:asciiTheme="minorHAnsi" w:hAnsiTheme="minorHAnsi" w:cstheme="minorHAnsi"/>
          <w:sz w:val="22"/>
          <w:szCs w:val="22"/>
        </w:rPr>
        <w:tab/>
      </w:r>
      <w:r w:rsidR="00D13890">
        <w:rPr>
          <w:rFonts w:asciiTheme="minorHAnsi" w:hAnsiTheme="minorHAnsi" w:cstheme="minorHAnsi"/>
          <w:sz w:val="22"/>
          <w:szCs w:val="22"/>
        </w:rPr>
        <w:t>$</w:t>
      </w:r>
      <w:r w:rsidR="0067326B" w:rsidRPr="005A644E">
        <w:rPr>
          <w:rFonts w:asciiTheme="minorHAnsi" w:hAnsiTheme="minorHAnsi" w:cstheme="minorHAnsi"/>
          <w:sz w:val="22"/>
          <w:szCs w:val="22"/>
          <w:highlight w:val="green"/>
        </w:rPr>
        <w:t>Appendix F Column A</w:t>
      </w:r>
    </w:p>
    <w:p w14:paraId="4913744B" w14:textId="77777777" w:rsidR="005C517E" w:rsidRDefault="005C517E">
      <w:pPr>
        <w:rPr>
          <w:rFonts w:eastAsia="MS Mincho" w:cstheme="minorHAnsi"/>
        </w:rPr>
      </w:pPr>
      <w:r>
        <w:rPr>
          <w:rFonts w:cstheme="minorHAnsi"/>
        </w:rPr>
        <w:br w:type="page"/>
      </w:r>
    </w:p>
    <w:p w14:paraId="7B738124" w14:textId="31B539B1" w:rsidR="0067326B" w:rsidRPr="005A644E" w:rsidRDefault="004D2DCE" w:rsidP="00B5589B">
      <w:pPr>
        <w:pStyle w:val="AonBodyCopy"/>
        <w:tabs>
          <w:tab w:val="left" w:pos="2340"/>
          <w:tab w:val="decimal" w:pos="3600"/>
        </w:tabs>
        <w:spacing w:after="0" w:line="259" w:lineRule="auto"/>
        <w:rPr>
          <w:rFonts w:asciiTheme="minorHAnsi" w:hAnsiTheme="minorHAnsi" w:cstheme="minorHAnsi"/>
          <w:sz w:val="22"/>
          <w:szCs w:val="22"/>
        </w:rPr>
      </w:pPr>
      <w:r w:rsidRPr="005A644E">
        <w:rPr>
          <w:rFonts w:asciiTheme="minorHAnsi" w:hAnsiTheme="minorHAnsi" w:cstheme="minorHAnsi"/>
          <w:sz w:val="22"/>
          <w:szCs w:val="22"/>
        </w:rPr>
        <w:lastRenderedPageBreak/>
        <w:t>20</w:t>
      </w:r>
      <w:r>
        <w:rPr>
          <w:rFonts w:asciiTheme="minorHAnsi" w:hAnsiTheme="minorHAnsi" w:cstheme="minorHAnsi"/>
          <w:sz w:val="22"/>
          <w:szCs w:val="22"/>
        </w:rPr>
        <w:t>2</w:t>
      </w:r>
      <w:r w:rsidR="00E759F8">
        <w:rPr>
          <w:rFonts w:asciiTheme="minorHAnsi" w:hAnsiTheme="minorHAnsi" w:cstheme="minorHAnsi"/>
          <w:sz w:val="22"/>
          <w:szCs w:val="22"/>
        </w:rPr>
        <w:t>7</w:t>
      </w:r>
      <w:r w:rsidR="002230B2" w:rsidRPr="005A644E">
        <w:rPr>
          <w:rFonts w:asciiTheme="minorHAnsi" w:hAnsiTheme="minorHAnsi" w:cstheme="minorHAnsi"/>
          <w:sz w:val="22"/>
          <w:szCs w:val="22"/>
        </w:rPr>
        <w:tab/>
      </w:r>
      <w:r w:rsidR="00D13890">
        <w:rPr>
          <w:rFonts w:asciiTheme="minorHAnsi" w:hAnsiTheme="minorHAnsi" w:cstheme="minorHAnsi"/>
          <w:sz w:val="22"/>
          <w:szCs w:val="22"/>
        </w:rPr>
        <w:t>$</w:t>
      </w:r>
      <w:r w:rsidR="0067326B" w:rsidRPr="005A644E">
        <w:rPr>
          <w:rFonts w:asciiTheme="minorHAnsi" w:hAnsiTheme="minorHAnsi" w:cstheme="minorHAnsi"/>
          <w:sz w:val="22"/>
          <w:szCs w:val="22"/>
          <w:highlight w:val="green"/>
        </w:rPr>
        <w:t>Appendix F Column B</w:t>
      </w:r>
    </w:p>
    <w:p w14:paraId="7B738125" w14:textId="259DCA30" w:rsidR="0067326B" w:rsidRPr="005A644E" w:rsidRDefault="004D2DCE" w:rsidP="00B5589B">
      <w:pPr>
        <w:pStyle w:val="AonBodyCopy"/>
        <w:tabs>
          <w:tab w:val="left" w:pos="2340"/>
          <w:tab w:val="decimal" w:pos="3600"/>
        </w:tabs>
        <w:spacing w:after="0" w:line="259" w:lineRule="auto"/>
        <w:rPr>
          <w:rFonts w:asciiTheme="minorHAnsi" w:hAnsiTheme="minorHAnsi" w:cstheme="minorHAnsi"/>
          <w:sz w:val="22"/>
          <w:szCs w:val="22"/>
        </w:rPr>
      </w:pPr>
      <w:r w:rsidRPr="005A644E">
        <w:rPr>
          <w:rFonts w:asciiTheme="minorHAnsi" w:hAnsiTheme="minorHAnsi" w:cstheme="minorHAnsi"/>
          <w:sz w:val="22"/>
          <w:szCs w:val="22"/>
        </w:rPr>
        <w:t>20</w:t>
      </w:r>
      <w:r>
        <w:rPr>
          <w:rFonts w:asciiTheme="minorHAnsi" w:hAnsiTheme="minorHAnsi" w:cstheme="minorHAnsi"/>
          <w:sz w:val="22"/>
          <w:szCs w:val="22"/>
        </w:rPr>
        <w:t>2</w:t>
      </w:r>
      <w:r w:rsidR="00E759F8">
        <w:rPr>
          <w:rFonts w:asciiTheme="minorHAnsi" w:hAnsiTheme="minorHAnsi" w:cstheme="minorHAnsi"/>
          <w:sz w:val="22"/>
          <w:szCs w:val="22"/>
        </w:rPr>
        <w:t>8</w:t>
      </w:r>
      <w:r w:rsidR="002230B2" w:rsidRPr="005A644E">
        <w:rPr>
          <w:rFonts w:asciiTheme="minorHAnsi" w:hAnsiTheme="minorHAnsi" w:cstheme="minorHAnsi"/>
          <w:sz w:val="22"/>
          <w:szCs w:val="22"/>
        </w:rPr>
        <w:tab/>
      </w:r>
      <w:r w:rsidR="00D13890">
        <w:rPr>
          <w:rFonts w:asciiTheme="minorHAnsi" w:hAnsiTheme="minorHAnsi" w:cstheme="minorHAnsi"/>
          <w:sz w:val="22"/>
          <w:szCs w:val="22"/>
        </w:rPr>
        <w:t>$</w:t>
      </w:r>
      <w:r w:rsidR="0067326B" w:rsidRPr="005A644E">
        <w:rPr>
          <w:rFonts w:asciiTheme="minorHAnsi" w:hAnsiTheme="minorHAnsi" w:cstheme="minorHAnsi"/>
          <w:sz w:val="22"/>
          <w:szCs w:val="22"/>
          <w:highlight w:val="green"/>
        </w:rPr>
        <w:t>Appendix F Column C</w:t>
      </w:r>
    </w:p>
    <w:p w14:paraId="7B738126" w14:textId="275A963A" w:rsidR="0067326B" w:rsidRPr="005A644E" w:rsidRDefault="004D2DCE" w:rsidP="00B5589B">
      <w:pPr>
        <w:pStyle w:val="AonBodyCopy"/>
        <w:tabs>
          <w:tab w:val="left" w:pos="2340"/>
          <w:tab w:val="decimal" w:pos="3600"/>
        </w:tabs>
        <w:spacing w:after="0" w:line="259" w:lineRule="auto"/>
        <w:rPr>
          <w:rFonts w:asciiTheme="minorHAnsi" w:hAnsiTheme="minorHAnsi" w:cstheme="minorHAnsi"/>
          <w:sz w:val="22"/>
          <w:szCs w:val="22"/>
        </w:rPr>
      </w:pPr>
      <w:r w:rsidRPr="005A644E">
        <w:rPr>
          <w:rFonts w:asciiTheme="minorHAnsi" w:hAnsiTheme="minorHAnsi" w:cstheme="minorHAnsi"/>
          <w:sz w:val="22"/>
          <w:szCs w:val="22"/>
        </w:rPr>
        <w:t>20</w:t>
      </w:r>
      <w:r>
        <w:rPr>
          <w:rFonts w:asciiTheme="minorHAnsi" w:hAnsiTheme="minorHAnsi" w:cstheme="minorHAnsi"/>
          <w:sz w:val="22"/>
          <w:szCs w:val="22"/>
        </w:rPr>
        <w:t>2</w:t>
      </w:r>
      <w:r w:rsidR="00E759F8">
        <w:rPr>
          <w:rFonts w:asciiTheme="minorHAnsi" w:hAnsiTheme="minorHAnsi" w:cstheme="minorHAnsi"/>
          <w:sz w:val="22"/>
          <w:szCs w:val="22"/>
        </w:rPr>
        <w:t>9</w:t>
      </w:r>
      <w:r w:rsidR="002230B2" w:rsidRPr="005A644E">
        <w:rPr>
          <w:rFonts w:asciiTheme="minorHAnsi" w:hAnsiTheme="minorHAnsi" w:cstheme="minorHAnsi"/>
          <w:sz w:val="22"/>
          <w:szCs w:val="22"/>
        </w:rPr>
        <w:tab/>
      </w:r>
      <w:r w:rsidR="00D13890">
        <w:rPr>
          <w:rFonts w:asciiTheme="minorHAnsi" w:hAnsiTheme="minorHAnsi" w:cstheme="minorHAnsi"/>
          <w:sz w:val="22"/>
          <w:szCs w:val="22"/>
        </w:rPr>
        <w:t>$</w:t>
      </w:r>
      <w:r w:rsidR="0067326B" w:rsidRPr="005A644E">
        <w:rPr>
          <w:rFonts w:asciiTheme="minorHAnsi" w:hAnsiTheme="minorHAnsi" w:cstheme="minorHAnsi"/>
          <w:sz w:val="22"/>
          <w:szCs w:val="22"/>
          <w:highlight w:val="green"/>
        </w:rPr>
        <w:t>Appendix F Column D</w:t>
      </w:r>
    </w:p>
    <w:p w14:paraId="7B738127" w14:textId="72549C85" w:rsidR="0067326B" w:rsidRPr="005A644E" w:rsidRDefault="004D2DCE" w:rsidP="00B5589B">
      <w:pPr>
        <w:pStyle w:val="AonBodyCopy"/>
        <w:tabs>
          <w:tab w:val="left" w:pos="2340"/>
          <w:tab w:val="decimal" w:pos="3600"/>
        </w:tabs>
        <w:spacing w:after="0" w:line="259" w:lineRule="auto"/>
        <w:rPr>
          <w:rFonts w:asciiTheme="minorHAnsi" w:hAnsiTheme="minorHAnsi" w:cstheme="minorHAnsi"/>
          <w:sz w:val="22"/>
          <w:szCs w:val="22"/>
        </w:rPr>
      </w:pPr>
      <w:r w:rsidRPr="005A644E">
        <w:rPr>
          <w:rFonts w:asciiTheme="minorHAnsi" w:hAnsiTheme="minorHAnsi" w:cstheme="minorHAnsi"/>
          <w:sz w:val="22"/>
          <w:szCs w:val="22"/>
        </w:rPr>
        <w:t>20</w:t>
      </w:r>
      <w:r w:rsidR="00E759F8">
        <w:rPr>
          <w:rFonts w:asciiTheme="minorHAnsi" w:hAnsiTheme="minorHAnsi" w:cstheme="minorHAnsi"/>
          <w:sz w:val="22"/>
          <w:szCs w:val="22"/>
        </w:rPr>
        <w:t>30</w:t>
      </w:r>
      <w:r w:rsidR="002230B2" w:rsidRPr="005A644E">
        <w:rPr>
          <w:rFonts w:asciiTheme="minorHAnsi" w:hAnsiTheme="minorHAnsi" w:cstheme="minorHAnsi"/>
          <w:sz w:val="22"/>
          <w:szCs w:val="22"/>
        </w:rPr>
        <w:tab/>
      </w:r>
      <w:r w:rsidR="00D13890">
        <w:rPr>
          <w:rFonts w:asciiTheme="minorHAnsi" w:hAnsiTheme="minorHAnsi" w:cstheme="minorHAnsi"/>
          <w:sz w:val="22"/>
          <w:szCs w:val="22"/>
        </w:rPr>
        <w:t>$</w:t>
      </w:r>
      <w:r w:rsidR="0067326B" w:rsidRPr="005A644E">
        <w:rPr>
          <w:rFonts w:asciiTheme="minorHAnsi" w:hAnsiTheme="minorHAnsi" w:cstheme="minorHAnsi"/>
          <w:sz w:val="22"/>
          <w:szCs w:val="22"/>
          <w:highlight w:val="green"/>
        </w:rPr>
        <w:t>Appendix F Column E</w:t>
      </w:r>
    </w:p>
    <w:p w14:paraId="7B738128" w14:textId="3D778DE8" w:rsidR="0067326B" w:rsidRDefault="002230B2" w:rsidP="00B5589B">
      <w:pPr>
        <w:pStyle w:val="AonBodyCopy"/>
        <w:tabs>
          <w:tab w:val="left" w:pos="2340"/>
          <w:tab w:val="decimal" w:pos="3600"/>
        </w:tabs>
        <w:spacing w:after="0" w:line="259" w:lineRule="auto"/>
        <w:rPr>
          <w:rFonts w:asciiTheme="minorHAnsi" w:hAnsiTheme="minorHAnsi" w:cstheme="minorHAnsi"/>
          <w:sz w:val="22"/>
          <w:szCs w:val="22"/>
          <w:highlight w:val="green"/>
        </w:rPr>
      </w:pPr>
      <w:r w:rsidRPr="005A644E">
        <w:rPr>
          <w:rFonts w:asciiTheme="minorHAnsi" w:hAnsiTheme="minorHAnsi" w:cstheme="minorHAnsi"/>
          <w:sz w:val="22"/>
          <w:szCs w:val="22"/>
        </w:rPr>
        <w:t>Total Thereafter</w:t>
      </w:r>
      <w:r w:rsidRPr="005A644E">
        <w:rPr>
          <w:rFonts w:asciiTheme="minorHAnsi" w:hAnsiTheme="minorHAnsi" w:cstheme="minorHAnsi"/>
          <w:sz w:val="22"/>
          <w:szCs w:val="22"/>
        </w:rPr>
        <w:tab/>
      </w:r>
      <w:r w:rsidR="00D13890">
        <w:rPr>
          <w:rFonts w:asciiTheme="minorHAnsi" w:hAnsiTheme="minorHAnsi" w:cstheme="minorHAnsi"/>
          <w:sz w:val="22"/>
          <w:szCs w:val="22"/>
        </w:rPr>
        <w:t>$</w:t>
      </w:r>
      <w:r w:rsidR="0067326B" w:rsidRPr="005A644E">
        <w:rPr>
          <w:rFonts w:asciiTheme="minorHAnsi" w:hAnsiTheme="minorHAnsi" w:cstheme="minorHAnsi"/>
          <w:sz w:val="22"/>
          <w:szCs w:val="22"/>
          <w:highlight w:val="green"/>
        </w:rPr>
        <w:t>Appendix F Column F</w:t>
      </w:r>
    </w:p>
    <w:p w14:paraId="58CC196F" w14:textId="77777777" w:rsidR="008D35A2" w:rsidRPr="005A644E" w:rsidRDefault="008D35A2" w:rsidP="00B5589B">
      <w:pPr>
        <w:pStyle w:val="AonBodyCopy"/>
        <w:tabs>
          <w:tab w:val="left" w:pos="2340"/>
          <w:tab w:val="decimal" w:pos="3600"/>
        </w:tabs>
        <w:spacing w:after="0" w:line="259" w:lineRule="auto"/>
        <w:rPr>
          <w:rFonts w:asciiTheme="minorHAnsi" w:hAnsiTheme="minorHAnsi" w:cstheme="minorHAnsi"/>
          <w:sz w:val="22"/>
          <w:szCs w:val="22"/>
        </w:rPr>
      </w:pPr>
    </w:p>
    <w:p w14:paraId="7B73812A" w14:textId="7DE49862" w:rsidR="00F10E49" w:rsidRPr="00C3101C" w:rsidRDefault="00F10E49" w:rsidP="00B5589B">
      <w:pPr>
        <w:pStyle w:val="Heading3"/>
        <w:spacing w:before="0" w:after="0" w:line="259" w:lineRule="auto"/>
        <w:rPr>
          <w:rFonts w:cs="Arial"/>
          <w:sz w:val="20"/>
        </w:rPr>
      </w:pPr>
    </w:p>
    <w:p w14:paraId="36B5CFA8" w14:textId="2F7AEBDF" w:rsidR="005E021B" w:rsidRPr="005A644E" w:rsidRDefault="005E021B" w:rsidP="00B5589B">
      <w:pPr>
        <w:pStyle w:val="AonBodyCopy"/>
        <w:spacing w:after="0" w:line="259" w:lineRule="auto"/>
        <w:rPr>
          <w:rFonts w:asciiTheme="minorHAnsi" w:hAnsiTheme="minorHAnsi" w:cstheme="minorHAnsi"/>
          <w:i/>
          <w:sz w:val="22"/>
          <w:szCs w:val="22"/>
        </w:rPr>
      </w:pPr>
      <w:r w:rsidRPr="005A644E">
        <w:rPr>
          <w:rFonts w:asciiTheme="minorHAnsi" w:eastAsia="Times New Roman" w:hAnsiTheme="minorHAnsi" w:cstheme="minorHAnsi"/>
          <w:b/>
          <w:i/>
          <w:sz w:val="22"/>
          <w:szCs w:val="22"/>
        </w:rPr>
        <w:t>Sensitivity of the Employer’s Proportionate Share of the OPEB Liability to Changes in the Discount Rate</w:t>
      </w:r>
      <w:r w:rsidRPr="005A644E">
        <w:rPr>
          <w:rFonts w:asciiTheme="minorHAnsi" w:hAnsiTheme="minorHAnsi" w:cstheme="minorHAnsi"/>
          <w:i/>
          <w:sz w:val="22"/>
          <w:szCs w:val="22"/>
        </w:rPr>
        <w:t xml:space="preserve"> </w:t>
      </w:r>
    </w:p>
    <w:p w14:paraId="19B789B4" w14:textId="77777777" w:rsidR="000436F5" w:rsidRPr="00C3101C" w:rsidRDefault="000436F5" w:rsidP="00B5589B">
      <w:pPr>
        <w:pStyle w:val="AonBodyCopy"/>
        <w:spacing w:after="0" w:line="259" w:lineRule="auto"/>
        <w:rPr>
          <w:rFonts w:cs="Arial"/>
          <w:i/>
        </w:rPr>
      </w:pPr>
    </w:p>
    <w:p w14:paraId="7B73812C" w14:textId="455EA5B3" w:rsidR="00443C70" w:rsidRPr="005A644E" w:rsidRDefault="005E021B" w:rsidP="00A84CE9">
      <w:pPr>
        <w:pStyle w:val="AonBodyCopy"/>
        <w:spacing w:after="160" w:line="259" w:lineRule="auto"/>
        <w:rPr>
          <w:rFonts w:asciiTheme="minorHAnsi" w:hAnsiTheme="minorHAnsi" w:cstheme="minorHAnsi"/>
          <w:sz w:val="22"/>
          <w:szCs w:val="22"/>
        </w:rPr>
      </w:pPr>
      <w:r w:rsidRPr="00D15959">
        <w:rPr>
          <w:rFonts w:asciiTheme="minorHAnsi" w:hAnsiTheme="minorHAnsi" w:cstheme="minorHAnsi"/>
          <w:sz w:val="22"/>
          <w:szCs w:val="22"/>
        </w:rPr>
        <w:t xml:space="preserve">The following presents the employer’s proportionate share of the Pre-Medicare Retiree </w:t>
      </w:r>
      <w:r w:rsidR="00CC19FA" w:rsidRPr="00D15959">
        <w:rPr>
          <w:rFonts w:asciiTheme="minorHAnsi" w:hAnsiTheme="minorHAnsi" w:cstheme="minorHAnsi"/>
          <w:sz w:val="22"/>
          <w:szCs w:val="22"/>
        </w:rPr>
        <w:t xml:space="preserve">Healthcare </w:t>
      </w:r>
      <w:r w:rsidRPr="00D15959">
        <w:rPr>
          <w:rFonts w:asciiTheme="minorHAnsi" w:hAnsiTheme="minorHAnsi" w:cstheme="minorHAnsi"/>
          <w:sz w:val="22"/>
          <w:szCs w:val="22"/>
        </w:rPr>
        <w:t xml:space="preserve">OPEB liability using the discount rate of </w:t>
      </w:r>
      <w:r w:rsidR="0004201C" w:rsidRPr="00D15959">
        <w:rPr>
          <w:rFonts w:asciiTheme="minorHAnsi" w:hAnsiTheme="minorHAnsi" w:cstheme="minorHAnsi"/>
          <w:sz w:val="22"/>
          <w:szCs w:val="22"/>
        </w:rPr>
        <w:t>3.</w:t>
      </w:r>
      <w:r w:rsidR="001069F6">
        <w:rPr>
          <w:rFonts w:asciiTheme="minorHAnsi" w:hAnsiTheme="minorHAnsi" w:cstheme="minorHAnsi"/>
          <w:sz w:val="22"/>
          <w:szCs w:val="22"/>
        </w:rPr>
        <w:t>93</w:t>
      </w:r>
      <w:r w:rsidR="009F28A9">
        <w:rPr>
          <w:rFonts w:asciiTheme="minorHAnsi" w:hAnsiTheme="minorHAnsi" w:cstheme="minorHAnsi"/>
          <w:sz w:val="22"/>
          <w:szCs w:val="22"/>
        </w:rPr>
        <w:t xml:space="preserve"> </w:t>
      </w:r>
      <w:r w:rsidR="00045FFA">
        <w:rPr>
          <w:rFonts w:asciiTheme="minorHAnsi" w:hAnsiTheme="minorHAnsi" w:cstheme="minorHAnsi"/>
          <w:sz w:val="22"/>
          <w:szCs w:val="22"/>
        </w:rPr>
        <w:t>percent,</w:t>
      </w:r>
      <w:r w:rsidRPr="00D15959">
        <w:rPr>
          <w:rFonts w:asciiTheme="minorHAnsi" w:hAnsiTheme="minorHAnsi" w:cstheme="minorHAnsi"/>
          <w:sz w:val="22"/>
          <w:szCs w:val="22"/>
        </w:rPr>
        <w:t xml:space="preserve"> as well as what the employer’s proportionate share of the Pre-Medicare Retiree </w:t>
      </w:r>
      <w:r w:rsidR="00CC19FA" w:rsidRPr="00D15959">
        <w:rPr>
          <w:rFonts w:asciiTheme="minorHAnsi" w:hAnsiTheme="minorHAnsi" w:cstheme="minorHAnsi"/>
          <w:sz w:val="22"/>
          <w:szCs w:val="22"/>
        </w:rPr>
        <w:t xml:space="preserve">Healthcare </w:t>
      </w:r>
      <w:r w:rsidRPr="00D15959">
        <w:rPr>
          <w:rFonts w:asciiTheme="minorHAnsi" w:hAnsiTheme="minorHAnsi" w:cstheme="minorHAnsi"/>
          <w:sz w:val="22"/>
          <w:szCs w:val="22"/>
        </w:rPr>
        <w:t>OPEB liability would be if it were calculated using a discount rate that is one percentage point lower (</w:t>
      </w:r>
      <w:r w:rsidR="00FE41ED" w:rsidRPr="00D15959">
        <w:rPr>
          <w:rFonts w:asciiTheme="minorHAnsi" w:hAnsiTheme="minorHAnsi" w:cstheme="minorHAnsi"/>
          <w:sz w:val="22"/>
          <w:szCs w:val="22"/>
        </w:rPr>
        <w:t>2.</w:t>
      </w:r>
      <w:r w:rsidR="001069F6">
        <w:rPr>
          <w:rFonts w:asciiTheme="minorHAnsi" w:hAnsiTheme="minorHAnsi" w:cstheme="minorHAnsi"/>
          <w:sz w:val="22"/>
          <w:szCs w:val="22"/>
        </w:rPr>
        <w:t>93</w:t>
      </w:r>
      <w:r w:rsidR="009F28A9">
        <w:rPr>
          <w:rFonts w:asciiTheme="minorHAnsi" w:hAnsiTheme="minorHAnsi" w:cstheme="minorHAnsi"/>
          <w:sz w:val="22"/>
          <w:szCs w:val="22"/>
        </w:rPr>
        <w:t xml:space="preserve"> </w:t>
      </w:r>
      <w:r w:rsidR="00225052">
        <w:rPr>
          <w:rFonts w:asciiTheme="minorHAnsi" w:hAnsiTheme="minorHAnsi" w:cstheme="minorHAnsi"/>
          <w:sz w:val="22"/>
          <w:szCs w:val="22"/>
        </w:rPr>
        <w:t>percent)</w:t>
      </w:r>
      <w:r w:rsidRPr="00D15959">
        <w:rPr>
          <w:rFonts w:asciiTheme="minorHAnsi" w:hAnsiTheme="minorHAnsi" w:cstheme="minorHAnsi"/>
          <w:sz w:val="22"/>
          <w:szCs w:val="22"/>
        </w:rPr>
        <w:t xml:space="preserve"> or one percentage point higher (</w:t>
      </w:r>
      <w:r w:rsidR="00D8698C" w:rsidRPr="00D15959">
        <w:rPr>
          <w:rFonts w:asciiTheme="minorHAnsi" w:hAnsiTheme="minorHAnsi" w:cstheme="minorHAnsi"/>
          <w:sz w:val="22"/>
          <w:szCs w:val="22"/>
        </w:rPr>
        <w:t>4.</w:t>
      </w:r>
      <w:r w:rsidR="001069F6">
        <w:rPr>
          <w:rFonts w:asciiTheme="minorHAnsi" w:hAnsiTheme="minorHAnsi" w:cstheme="minorHAnsi"/>
          <w:sz w:val="22"/>
          <w:szCs w:val="22"/>
        </w:rPr>
        <w:t>93</w:t>
      </w:r>
      <w:r w:rsidR="009F28A9">
        <w:rPr>
          <w:rFonts w:asciiTheme="minorHAnsi" w:hAnsiTheme="minorHAnsi" w:cstheme="minorHAnsi"/>
          <w:sz w:val="22"/>
          <w:szCs w:val="22"/>
        </w:rPr>
        <w:t xml:space="preserve"> </w:t>
      </w:r>
      <w:r w:rsidR="00B71C24">
        <w:rPr>
          <w:rFonts w:asciiTheme="minorHAnsi" w:hAnsiTheme="minorHAnsi" w:cstheme="minorHAnsi"/>
          <w:sz w:val="22"/>
          <w:szCs w:val="22"/>
        </w:rPr>
        <w:t>percent)</w:t>
      </w:r>
      <w:r w:rsidRPr="005A644E">
        <w:rPr>
          <w:rFonts w:asciiTheme="minorHAnsi" w:hAnsiTheme="minorHAnsi" w:cstheme="minorHAnsi"/>
          <w:sz w:val="22"/>
          <w:szCs w:val="22"/>
        </w:rPr>
        <w:t xml:space="preserve"> than the current rate: </w:t>
      </w:r>
      <w:bookmarkEnd w:id="0"/>
    </w:p>
    <w:p w14:paraId="51282DE5" w14:textId="77777777" w:rsidR="000436F5" w:rsidRPr="00C3101C" w:rsidRDefault="000436F5" w:rsidP="000436F5">
      <w:pPr>
        <w:pStyle w:val="AonBodyCopy"/>
        <w:spacing w:after="0" w:line="259" w:lineRule="auto"/>
        <w:jc w:val="both"/>
        <w:rPr>
          <w:rFonts w:cs="Arial"/>
        </w:rPr>
      </w:pPr>
    </w:p>
    <w:p w14:paraId="7B73812D" w14:textId="685A4944" w:rsidR="00443C70" w:rsidRPr="005A644E" w:rsidRDefault="00443C70" w:rsidP="00443C70">
      <w:pPr>
        <w:pStyle w:val="TableColumnHead"/>
        <w:tabs>
          <w:tab w:val="right" w:pos="5760"/>
          <w:tab w:val="right" w:pos="7560"/>
          <w:tab w:val="right" w:pos="9270"/>
        </w:tabs>
        <w:rPr>
          <w:rFonts w:asciiTheme="minorHAnsi" w:hAnsiTheme="minorHAnsi" w:cstheme="minorHAnsi"/>
          <w:sz w:val="22"/>
          <w:szCs w:val="22"/>
        </w:rPr>
      </w:pPr>
      <w:r w:rsidRPr="00C3101C">
        <w:tab/>
      </w:r>
      <w:r w:rsidRPr="005A644E">
        <w:rPr>
          <w:rFonts w:asciiTheme="minorHAnsi" w:hAnsiTheme="minorHAnsi" w:cstheme="minorHAnsi"/>
          <w:sz w:val="22"/>
          <w:szCs w:val="22"/>
        </w:rPr>
        <w:t>1% Decrease</w:t>
      </w:r>
      <w:r w:rsidRPr="005A644E">
        <w:rPr>
          <w:rFonts w:asciiTheme="minorHAnsi" w:hAnsiTheme="minorHAnsi" w:cstheme="minorHAnsi"/>
          <w:sz w:val="22"/>
          <w:szCs w:val="22"/>
        </w:rPr>
        <w:tab/>
        <w:t>Current Rate</w:t>
      </w:r>
      <w:r w:rsidRPr="005A644E">
        <w:rPr>
          <w:rFonts w:asciiTheme="minorHAnsi" w:hAnsiTheme="minorHAnsi" w:cstheme="minorHAnsi"/>
          <w:sz w:val="22"/>
          <w:szCs w:val="22"/>
        </w:rPr>
        <w:tab/>
        <w:t>1% Increase</w:t>
      </w:r>
      <w:r w:rsidRPr="005A644E">
        <w:rPr>
          <w:rFonts w:asciiTheme="minorHAnsi" w:hAnsiTheme="minorHAnsi" w:cstheme="minorHAnsi"/>
          <w:sz w:val="22"/>
          <w:szCs w:val="22"/>
        </w:rPr>
        <w:br/>
      </w:r>
      <w:r w:rsidRPr="005A644E">
        <w:rPr>
          <w:rFonts w:asciiTheme="minorHAnsi" w:hAnsiTheme="minorHAnsi" w:cstheme="minorHAnsi"/>
          <w:sz w:val="22"/>
          <w:szCs w:val="22"/>
        </w:rPr>
        <w:tab/>
        <w:t>(</w:t>
      </w:r>
      <w:r w:rsidR="00096FB0">
        <w:rPr>
          <w:rFonts w:asciiTheme="minorHAnsi" w:hAnsiTheme="minorHAnsi" w:cstheme="minorHAnsi"/>
          <w:sz w:val="22"/>
          <w:szCs w:val="22"/>
        </w:rPr>
        <w:t>2.</w:t>
      </w:r>
      <w:r w:rsidR="00A51350">
        <w:rPr>
          <w:rFonts w:asciiTheme="minorHAnsi" w:hAnsiTheme="minorHAnsi" w:cstheme="minorHAnsi"/>
          <w:sz w:val="22"/>
          <w:szCs w:val="22"/>
        </w:rPr>
        <w:t>93</w:t>
      </w:r>
      <w:r w:rsidRPr="005A644E">
        <w:rPr>
          <w:rFonts w:asciiTheme="minorHAnsi" w:hAnsiTheme="minorHAnsi" w:cstheme="minorHAnsi"/>
          <w:sz w:val="22"/>
          <w:szCs w:val="22"/>
        </w:rPr>
        <w:t>%)</w:t>
      </w:r>
      <w:r w:rsidRPr="005A644E">
        <w:rPr>
          <w:rFonts w:asciiTheme="minorHAnsi" w:hAnsiTheme="minorHAnsi" w:cstheme="minorHAnsi"/>
          <w:sz w:val="22"/>
          <w:szCs w:val="22"/>
        </w:rPr>
        <w:tab/>
        <w:t>(</w:t>
      </w:r>
      <w:r w:rsidR="006B6606">
        <w:rPr>
          <w:rFonts w:asciiTheme="minorHAnsi" w:hAnsiTheme="minorHAnsi" w:cstheme="minorHAnsi"/>
          <w:sz w:val="22"/>
          <w:szCs w:val="22"/>
        </w:rPr>
        <w:t>3.</w:t>
      </w:r>
      <w:r w:rsidR="00A51350">
        <w:rPr>
          <w:rFonts w:asciiTheme="minorHAnsi" w:hAnsiTheme="minorHAnsi" w:cstheme="minorHAnsi"/>
          <w:sz w:val="22"/>
          <w:szCs w:val="22"/>
        </w:rPr>
        <w:t>93</w:t>
      </w:r>
      <w:r w:rsidRPr="005A644E">
        <w:rPr>
          <w:rFonts w:asciiTheme="minorHAnsi" w:hAnsiTheme="minorHAnsi" w:cstheme="minorHAnsi"/>
          <w:sz w:val="22"/>
          <w:szCs w:val="22"/>
        </w:rPr>
        <w:t>%)</w:t>
      </w:r>
      <w:r w:rsidRPr="005A644E">
        <w:rPr>
          <w:rFonts w:asciiTheme="minorHAnsi" w:hAnsiTheme="minorHAnsi" w:cstheme="minorHAnsi"/>
          <w:sz w:val="22"/>
          <w:szCs w:val="22"/>
        </w:rPr>
        <w:tab/>
        <w:t>(</w:t>
      </w:r>
      <w:r w:rsidR="006B6606">
        <w:rPr>
          <w:rFonts w:asciiTheme="minorHAnsi" w:hAnsiTheme="minorHAnsi" w:cstheme="minorHAnsi"/>
          <w:sz w:val="22"/>
          <w:szCs w:val="22"/>
        </w:rPr>
        <w:t>4.</w:t>
      </w:r>
      <w:r w:rsidR="00A51350">
        <w:rPr>
          <w:rFonts w:asciiTheme="minorHAnsi" w:hAnsiTheme="minorHAnsi" w:cstheme="minorHAnsi"/>
          <w:sz w:val="22"/>
          <w:szCs w:val="22"/>
        </w:rPr>
        <w:t>93</w:t>
      </w:r>
      <w:r w:rsidRPr="005A644E">
        <w:rPr>
          <w:rFonts w:asciiTheme="minorHAnsi" w:hAnsiTheme="minorHAnsi" w:cstheme="minorHAnsi"/>
          <w:sz w:val="22"/>
          <w:szCs w:val="22"/>
        </w:rPr>
        <w:t>%)</w:t>
      </w:r>
    </w:p>
    <w:p w14:paraId="7B73812E" w14:textId="4DB87042" w:rsidR="00443C70" w:rsidRPr="00C3101C" w:rsidRDefault="00443C70" w:rsidP="00443C70">
      <w:pPr>
        <w:tabs>
          <w:tab w:val="right" w:pos="9300"/>
        </w:tabs>
        <w:rPr>
          <w:rFonts w:ascii="Arial" w:hAnsi="Arial" w:cs="Arial"/>
          <w:sz w:val="20"/>
          <w:szCs w:val="20"/>
          <w:u w:val="single"/>
        </w:rPr>
      </w:pPr>
      <w:r w:rsidRPr="00C3101C">
        <w:rPr>
          <w:rFonts w:ascii="Arial" w:hAnsi="Arial" w:cs="Arial"/>
          <w:sz w:val="20"/>
          <w:szCs w:val="20"/>
          <w:u w:val="single"/>
        </w:rPr>
        <w:tab/>
      </w:r>
    </w:p>
    <w:p w14:paraId="7B73812F" w14:textId="77777777" w:rsidR="00443C70" w:rsidRPr="005A644E" w:rsidRDefault="00443C70" w:rsidP="00443C70">
      <w:pPr>
        <w:pStyle w:val="Tablecopy"/>
        <w:tabs>
          <w:tab w:val="left" w:pos="360"/>
          <w:tab w:val="left" w:pos="4860"/>
          <w:tab w:val="right" w:pos="5760"/>
          <w:tab w:val="left" w:pos="6660"/>
          <w:tab w:val="right" w:pos="7560"/>
          <w:tab w:val="left" w:pos="8190"/>
          <w:tab w:val="right" w:pos="9270"/>
        </w:tabs>
        <w:rPr>
          <w:rFonts w:asciiTheme="minorHAnsi" w:hAnsiTheme="minorHAnsi" w:cstheme="minorHAnsi"/>
          <w:sz w:val="22"/>
          <w:szCs w:val="22"/>
        </w:rPr>
      </w:pPr>
      <w:r w:rsidRPr="005A644E">
        <w:rPr>
          <w:rFonts w:asciiTheme="minorHAnsi" w:hAnsiTheme="minorHAnsi" w:cstheme="minorHAnsi"/>
          <w:sz w:val="22"/>
          <w:szCs w:val="22"/>
        </w:rPr>
        <w:t>OPEB Liability</w:t>
      </w:r>
      <w:r w:rsidRPr="005A644E">
        <w:rPr>
          <w:rFonts w:asciiTheme="minorHAnsi" w:hAnsiTheme="minorHAnsi" w:cstheme="minorHAnsi"/>
          <w:sz w:val="22"/>
          <w:szCs w:val="22"/>
        </w:rPr>
        <w:tab/>
      </w:r>
      <w:r w:rsidR="00FE02CA" w:rsidRPr="005A644E">
        <w:rPr>
          <w:rFonts w:asciiTheme="minorHAnsi" w:hAnsiTheme="minorHAnsi" w:cstheme="minorHAnsi"/>
          <w:sz w:val="22"/>
          <w:szCs w:val="22"/>
        </w:rPr>
        <w:t>$</w:t>
      </w:r>
      <w:r w:rsidR="00B335BF" w:rsidRPr="005A644E">
        <w:rPr>
          <w:rFonts w:asciiTheme="minorHAnsi" w:hAnsiTheme="minorHAnsi" w:cstheme="minorHAnsi"/>
          <w:sz w:val="22"/>
          <w:szCs w:val="22"/>
          <w:highlight w:val="green"/>
        </w:rPr>
        <w:t>App A Col G</w:t>
      </w:r>
      <w:r w:rsidR="00B335BF" w:rsidRPr="005A644E">
        <w:rPr>
          <w:rFonts w:asciiTheme="minorHAnsi" w:hAnsiTheme="minorHAnsi" w:cstheme="minorHAnsi"/>
          <w:sz w:val="22"/>
          <w:szCs w:val="22"/>
        </w:rPr>
        <w:tab/>
      </w:r>
      <w:r w:rsidR="00FE02CA" w:rsidRPr="005A644E">
        <w:rPr>
          <w:rFonts w:asciiTheme="minorHAnsi" w:hAnsiTheme="minorHAnsi" w:cstheme="minorHAnsi"/>
          <w:sz w:val="22"/>
          <w:szCs w:val="22"/>
        </w:rPr>
        <w:t>$</w:t>
      </w:r>
      <w:r w:rsidR="00B335BF" w:rsidRPr="005A644E">
        <w:rPr>
          <w:rFonts w:asciiTheme="minorHAnsi" w:hAnsiTheme="minorHAnsi" w:cstheme="minorHAnsi"/>
          <w:sz w:val="22"/>
          <w:szCs w:val="22"/>
          <w:highlight w:val="green"/>
        </w:rPr>
        <w:t>App A Col H</w:t>
      </w:r>
      <w:r w:rsidRPr="005A644E">
        <w:rPr>
          <w:rFonts w:asciiTheme="minorHAnsi" w:hAnsiTheme="minorHAnsi" w:cstheme="minorHAnsi"/>
          <w:sz w:val="22"/>
          <w:szCs w:val="22"/>
        </w:rPr>
        <w:tab/>
      </w:r>
      <w:r w:rsidR="00FE02CA" w:rsidRPr="005A644E">
        <w:rPr>
          <w:rFonts w:asciiTheme="minorHAnsi" w:hAnsiTheme="minorHAnsi" w:cstheme="minorHAnsi"/>
          <w:sz w:val="22"/>
          <w:szCs w:val="22"/>
        </w:rPr>
        <w:t>$</w:t>
      </w:r>
      <w:r w:rsidR="00B335BF" w:rsidRPr="005A644E">
        <w:rPr>
          <w:rFonts w:asciiTheme="minorHAnsi" w:hAnsiTheme="minorHAnsi" w:cstheme="minorHAnsi"/>
          <w:sz w:val="22"/>
          <w:szCs w:val="22"/>
          <w:highlight w:val="green"/>
        </w:rPr>
        <w:t>App A Col I</w:t>
      </w:r>
    </w:p>
    <w:p w14:paraId="7B738130" w14:textId="77777777" w:rsidR="00207397" w:rsidRPr="00C3101C" w:rsidRDefault="00207397" w:rsidP="00443C70">
      <w:pPr>
        <w:pStyle w:val="AonBodyCopy"/>
        <w:rPr>
          <w:rFonts w:eastAsia="Times New Roman" w:cs="Arial"/>
          <w:b/>
          <w:i/>
        </w:rPr>
      </w:pPr>
    </w:p>
    <w:p w14:paraId="7B738131" w14:textId="5668BB77" w:rsidR="00304864" w:rsidRPr="005A644E" w:rsidRDefault="005E021B" w:rsidP="000436F5">
      <w:pPr>
        <w:pStyle w:val="AonBodyCopy"/>
        <w:jc w:val="both"/>
        <w:rPr>
          <w:rFonts w:asciiTheme="minorHAnsi" w:eastAsia="Times New Roman" w:hAnsiTheme="minorHAnsi" w:cstheme="minorHAnsi"/>
          <w:b/>
          <w:i/>
          <w:sz w:val="22"/>
          <w:szCs w:val="22"/>
        </w:rPr>
      </w:pPr>
      <w:r w:rsidRPr="005A644E">
        <w:rPr>
          <w:rFonts w:asciiTheme="minorHAnsi" w:eastAsia="Times New Roman" w:hAnsiTheme="minorHAnsi" w:cstheme="minorHAnsi"/>
          <w:b/>
          <w:i/>
          <w:sz w:val="22"/>
          <w:szCs w:val="22"/>
        </w:rPr>
        <w:t xml:space="preserve">Sensitivity of the Employer’s Proportionate Share of the OPEB Liability </w:t>
      </w:r>
      <w:proofErr w:type="gramStart"/>
      <w:r w:rsidRPr="005A644E">
        <w:rPr>
          <w:rFonts w:asciiTheme="minorHAnsi" w:eastAsia="Times New Roman" w:hAnsiTheme="minorHAnsi" w:cstheme="minorHAnsi"/>
          <w:b/>
          <w:i/>
          <w:sz w:val="22"/>
          <w:szCs w:val="22"/>
        </w:rPr>
        <w:t>to</w:t>
      </w:r>
      <w:proofErr w:type="gramEnd"/>
      <w:r w:rsidRPr="005A644E">
        <w:rPr>
          <w:rFonts w:asciiTheme="minorHAnsi" w:eastAsia="Times New Roman" w:hAnsiTheme="minorHAnsi" w:cstheme="minorHAnsi"/>
          <w:b/>
          <w:i/>
          <w:sz w:val="22"/>
          <w:szCs w:val="22"/>
        </w:rPr>
        <w:t xml:space="preserve"> Changes in the Healthcare Cost Trend Rates</w:t>
      </w:r>
    </w:p>
    <w:p w14:paraId="2799452D" w14:textId="4B4F5107" w:rsidR="005E021B" w:rsidRPr="005A644E" w:rsidRDefault="005E021B" w:rsidP="00A84CE9">
      <w:pPr>
        <w:pStyle w:val="AonBodyCopy"/>
        <w:spacing w:after="160" w:line="259" w:lineRule="auto"/>
        <w:rPr>
          <w:rFonts w:asciiTheme="minorHAnsi" w:hAnsiTheme="minorHAnsi" w:cstheme="minorHAnsi"/>
          <w:sz w:val="22"/>
          <w:szCs w:val="22"/>
        </w:rPr>
      </w:pPr>
      <w:r w:rsidRPr="005A644E">
        <w:rPr>
          <w:rFonts w:asciiTheme="minorHAnsi" w:hAnsiTheme="minorHAnsi" w:cstheme="minorHAnsi"/>
          <w:sz w:val="22"/>
          <w:szCs w:val="22"/>
        </w:rPr>
        <w:t xml:space="preserve">The following presents </w:t>
      </w:r>
      <w:r w:rsidRPr="00D15959">
        <w:rPr>
          <w:rFonts w:asciiTheme="minorHAnsi" w:hAnsiTheme="minorHAnsi" w:cstheme="minorHAnsi"/>
          <w:sz w:val="22"/>
          <w:szCs w:val="22"/>
        </w:rPr>
        <w:t xml:space="preserve">the employer’s proportionate share of the Pre-Medicare Retiree </w:t>
      </w:r>
      <w:r w:rsidR="00CC19FA" w:rsidRPr="00D15959">
        <w:rPr>
          <w:rFonts w:asciiTheme="minorHAnsi" w:hAnsiTheme="minorHAnsi" w:cstheme="minorHAnsi"/>
          <w:sz w:val="22"/>
          <w:szCs w:val="22"/>
        </w:rPr>
        <w:t xml:space="preserve">Healthcare </w:t>
      </w:r>
      <w:r w:rsidRPr="00D15959">
        <w:rPr>
          <w:rFonts w:asciiTheme="minorHAnsi" w:hAnsiTheme="minorHAnsi" w:cstheme="minorHAnsi"/>
          <w:sz w:val="22"/>
          <w:szCs w:val="22"/>
        </w:rPr>
        <w:t xml:space="preserve">OPEB liability using </w:t>
      </w:r>
      <w:r w:rsidR="00A052AE" w:rsidRPr="00D15959">
        <w:rPr>
          <w:rFonts w:asciiTheme="minorHAnsi" w:hAnsiTheme="minorHAnsi" w:cstheme="minorHAnsi"/>
          <w:sz w:val="22"/>
          <w:szCs w:val="22"/>
        </w:rPr>
        <w:t>healthcare cost trend rate</w:t>
      </w:r>
      <w:r w:rsidRPr="00D15959">
        <w:rPr>
          <w:rFonts w:asciiTheme="minorHAnsi" w:hAnsiTheme="minorHAnsi" w:cstheme="minorHAnsi"/>
          <w:sz w:val="22"/>
          <w:szCs w:val="22"/>
        </w:rPr>
        <w:t xml:space="preserve"> of </w:t>
      </w:r>
      <w:r w:rsidR="00741A71">
        <w:rPr>
          <w:rFonts w:asciiTheme="minorHAnsi" w:hAnsiTheme="minorHAnsi" w:cstheme="minorHAnsi"/>
          <w:sz w:val="22"/>
          <w:szCs w:val="22"/>
        </w:rPr>
        <w:t>7.</w:t>
      </w:r>
      <w:r w:rsidR="00B27F12">
        <w:rPr>
          <w:rFonts w:asciiTheme="minorHAnsi" w:hAnsiTheme="minorHAnsi" w:cstheme="minorHAnsi"/>
          <w:sz w:val="22"/>
          <w:szCs w:val="22"/>
        </w:rPr>
        <w:t>50</w:t>
      </w:r>
      <w:r w:rsidR="009F28A9">
        <w:rPr>
          <w:rFonts w:asciiTheme="minorHAnsi" w:hAnsiTheme="minorHAnsi" w:cstheme="minorHAnsi"/>
          <w:sz w:val="22"/>
          <w:szCs w:val="22"/>
        </w:rPr>
        <w:t xml:space="preserve"> percent </w:t>
      </w:r>
      <w:r w:rsidR="00A052AE" w:rsidRPr="00D15959">
        <w:rPr>
          <w:rFonts w:asciiTheme="minorHAnsi" w:hAnsiTheme="minorHAnsi" w:cstheme="minorHAnsi"/>
          <w:sz w:val="22"/>
          <w:szCs w:val="22"/>
        </w:rPr>
        <w:t xml:space="preserve"> decreasing to </w:t>
      </w:r>
      <w:r w:rsidR="00BA40F1" w:rsidRPr="00D15959">
        <w:rPr>
          <w:rFonts w:asciiTheme="minorHAnsi" w:hAnsiTheme="minorHAnsi" w:cstheme="minorHAnsi"/>
          <w:sz w:val="22"/>
          <w:szCs w:val="22"/>
        </w:rPr>
        <w:t>4.5</w:t>
      </w:r>
      <w:r w:rsidR="0056227A" w:rsidRPr="00D15959">
        <w:rPr>
          <w:rFonts w:asciiTheme="minorHAnsi" w:hAnsiTheme="minorHAnsi" w:cstheme="minorHAnsi"/>
          <w:sz w:val="22"/>
          <w:szCs w:val="22"/>
        </w:rPr>
        <w:t>0</w:t>
      </w:r>
      <w:r w:rsidR="00BC5FC9">
        <w:rPr>
          <w:rFonts w:asciiTheme="minorHAnsi" w:hAnsiTheme="minorHAnsi" w:cstheme="minorHAnsi"/>
          <w:sz w:val="22"/>
          <w:szCs w:val="22"/>
        </w:rPr>
        <w:t xml:space="preserve"> </w:t>
      </w:r>
      <w:r w:rsidR="009F28A9">
        <w:rPr>
          <w:rFonts w:asciiTheme="minorHAnsi" w:hAnsiTheme="minorHAnsi" w:cstheme="minorHAnsi"/>
          <w:sz w:val="22"/>
          <w:szCs w:val="22"/>
        </w:rPr>
        <w:t xml:space="preserve">percent </w:t>
      </w:r>
      <w:r w:rsidRPr="00D15959">
        <w:rPr>
          <w:rFonts w:asciiTheme="minorHAnsi" w:hAnsiTheme="minorHAnsi" w:cstheme="minorHAnsi"/>
          <w:sz w:val="22"/>
          <w:szCs w:val="22"/>
        </w:rPr>
        <w:t xml:space="preserve">, as well as what the employer’s proportionate share of the Pre-Medicare Retiree </w:t>
      </w:r>
      <w:r w:rsidR="00CC19FA" w:rsidRPr="00D15959">
        <w:rPr>
          <w:rFonts w:asciiTheme="minorHAnsi" w:hAnsiTheme="minorHAnsi" w:cstheme="minorHAnsi"/>
          <w:sz w:val="22"/>
          <w:szCs w:val="22"/>
        </w:rPr>
        <w:t xml:space="preserve">Healthcare </w:t>
      </w:r>
      <w:r w:rsidRPr="00D15959">
        <w:rPr>
          <w:rFonts w:asciiTheme="minorHAnsi" w:hAnsiTheme="minorHAnsi" w:cstheme="minorHAnsi"/>
          <w:sz w:val="22"/>
          <w:szCs w:val="22"/>
        </w:rPr>
        <w:t xml:space="preserve">OPEB liability would be if it were calculated using a </w:t>
      </w:r>
      <w:r w:rsidR="00A052AE" w:rsidRPr="00D15959">
        <w:rPr>
          <w:rFonts w:asciiTheme="minorHAnsi" w:hAnsiTheme="minorHAnsi" w:cstheme="minorHAnsi"/>
          <w:sz w:val="22"/>
          <w:szCs w:val="22"/>
        </w:rPr>
        <w:t xml:space="preserve">healthcare cost trend rate </w:t>
      </w:r>
      <w:r w:rsidRPr="00D15959">
        <w:rPr>
          <w:rFonts w:asciiTheme="minorHAnsi" w:hAnsiTheme="minorHAnsi" w:cstheme="minorHAnsi"/>
          <w:sz w:val="22"/>
          <w:szCs w:val="22"/>
        </w:rPr>
        <w:t xml:space="preserve">that is one percentage point lower </w:t>
      </w:r>
      <w:r w:rsidR="00A052AE" w:rsidRPr="00D15959">
        <w:rPr>
          <w:rFonts w:asciiTheme="minorHAnsi" w:hAnsiTheme="minorHAnsi" w:cstheme="minorHAnsi"/>
          <w:sz w:val="22"/>
          <w:szCs w:val="22"/>
        </w:rPr>
        <w:t>(</w:t>
      </w:r>
      <w:r w:rsidR="00383841">
        <w:rPr>
          <w:rFonts w:asciiTheme="minorHAnsi" w:hAnsiTheme="minorHAnsi" w:cstheme="minorHAnsi"/>
          <w:sz w:val="22"/>
          <w:szCs w:val="22"/>
        </w:rPr>
        <w:t>6.</w:t>
      </w:r>
      <w:r w:rsidR="00EB2223">
        <w:rPr>
          <w:rFonts w:asciiTheme="minorHAnsi" w:hAnsiTheme="minorHAnsi" w:cstheme="minorHAnsi"/>
          <w:sz w:val="22"/>
          <w:szCs w:val="22"/>
        </w:rPr>
        <w:t>50</w:t>
      </w:r>
      <w:r w:rsidR="009F28A9">
        <w:rPr>
          <w:rFonts w:asciiTheme="minorHAnsi" w:hAnsiTheme="minorHAnsi" w:cstheme="minorHAnsi"/>
          <w:sz w:val="22"/>
          <w:szCs w:val="22"/>
        </w:rPr>
        <w:t xml:space="preserve"> percent</w:t>
      </w:r>
      <w:r w:rsidR="00A052AE" w:rsidRPr="00D15959">
        <w:rPr>
          <w:rFonts w:asciiTheme="minorHAnsi" w:hAnsiTheme="minorHAnsi" w:cstheme="minorHAnsi"/>
          <w:sz w:val="22"/>
          <w:szCs w:val="22"/>
        </w:rPr>
        <w:t xml:space="preserve"> decreasing to </w:t>
      </w:r>
      <w:r w:rsidR="00BA40F1" w:rsidRPr="00D15959">
        <w:rPr>
          <w:rFonts w:asciiTheme="minorHAnsi" w:hAnsiTheme="minorHAnsi" w:cstheme="minorHAnsi"/>
          <w:sz w:val="22"/>
          <w:szCs w:val="22"/>
        </w:rPr>
        <w:t>3.5</w:t>
      </w:r>
      <w:r w:rsidR="0056227A" w:rsidRPr="00D15959">
        <w:rPr>
          <w:rFonts w:asciiTheme="minorHAnsi" w:hAnsiTheme="minorHAnsi" w:cstheme="minorHAnsi"/>
          <w:sz w:val="22"/>
          <w:szCs w:val="22"/>
        </w:rPr>
        <w:t>0</w:t>
      </w:r>
      <w:r w:rsidR="009F28A9">
        <w:rPr>
          <w:rFonts w:asciiTheme="minorHAnsi" w:hAnsiTheme="minorHAnsi" w:cstheme="minorHAnsi"/>
          <w:sz w:val="22"/>
          <w:szCs w:val="22"/>
        </w:rPr>
        <w:t xml:space="preserve"> percent</w:t>
      </w:r>
      <w:r w:rsidR="00A052AE" w:rsidRPr="00D15959">
        <w:rPr>
          <w:rFonts w:asciiTheme="minorHAnsi" w:hAnsiTheme="minorHAnsi" w:cstheme="minorHAnsi"/>
          <w:sz w:val="22"/>
          <w:szCs w:val="22"/>
        </w:rPr>
        <w:t xml:space="preserve">) </w:t>
      </w:r>
      <w:r w:rsidRPr="00D15959">
        <w:rPr>
          <w:rFonts w:asciiTheme="minorHAnsi" w:hAnsiTheme="minorHAnsi" w:cstheme="minorHAnsi"/>
          <w:sz w:val="22"/>
          <w:szCs w:val="22"/>
        </w:rPr>
        <w:t>or one percentage point higher (</w:t>
      </w:r>
      <w:r w:rsidR="00EE4F62">
        <w:rPr>
          <w:rFonts w:asciiTheme="minorHAnsi" w:hAnsiTheme="minorHAnsi" w:cstheme="minorHAnsi"/>
          <w:sz w:val="22"/>
          <w:szCs w:val="22"/>
        </w:rPr>
        <w:t>8.</w:t>
      </w:r>
      <w:r w:rsidR="00EB2223">
        <w:rPr>
          <w:rFonts w:asciiTheme="minorHAnsi" w:hAnsiTheme="minorHAnsi" w:cstheme="minorHAnsi"/>
          <w:sz w:val="22"/>
          <w:szCs w:val="22"/>
        </w:rPr>
        <w:t>50</w:t>
      </w:r>
      <w:r w:rsidR="009F28A9">
        <w:rPr>
          <w:rFonts w:asciiTheme="minorHAnsi" w:hAnsiTheme="minorHAnsi" w:cstheme="minorHAnsi"/>
          <w:sz w:val="22"/>
          <w:szCs w:val="22"/>
        </w:rPr>
        <w:t xml:space="preserve"> percent</w:t>
      </w:r>
      <w:r w:rsidR="00A052AE" w:rsidRPr="00D15959">
        <w:rPr>
          <w:rFonts w:asciiTheme="minorHAnsi" w:hAnsiTheme="minorHAnsi" w:cstheme="minorHAnsi"/>
          <w:sz w:val="22"/>
          <w:szCs w:val="22"/>
        </w:rPr>
        <w:t xml:space="preserve"> decreasing to </w:t>
      </w:r>
      <w:r w:rsidR="00BA40F1" w:rsidRPr="00D15959">
        <w:rPr>
          <w:rFonts w:asciiTheme="minorHAnsi" w:hAnsiTheme="minorHAnsi" w:cstheme="minorHAnsi"/>
          <w:sz w:val="22"/>
          <w:szCs w:val="22"/>
        </w:rPr>
        <w:t>5.5</w:t>
      </w:r>
      <w:r w:rsidR="0056227A" w:rsidRPr="00D15959">
        <w:rPr>
          <w:rFonts w:asciiTheme="minorHAnsi" w:hAnsiTheme="minorHAnsi" w:cstheme="minorHAnsi"/>
          <w:sz w:val="22"/>
          <w:szCs w:val="22"/>
        </w:rPr>
        <w:t>0</w:t>
      </w:r>
      <w:r w:rsidR="009F28A9">
        <w:rPr>
          <w:rFonts w:asciiTheme="minorHAnsi" w:hAnsiTheme="minorHAnsi" w:cstheme="minorHAnsi"/>
          <w:sz w:val="22"/>
          <w:szCs w:val="22"/>
        </w:rPr>
        <w:t xml:space="preserve"> percent </w:t>
      </w:r>
      <w:r w:rsidR="00A052AE" w:rsidRPr="00D15959">
        <w:rPr>
          <w:rFonts w:asciiTheme="minorHAnsi" w:hAnsiTheme="minorHAnsi" w:cstheme="minorHAnsi"/>
          <w:sz w:val="22"/>
          <w:szCs w:val="22"/>
        </w:rPr>
        <w:t xml:space="preserve">) </w:t>
      </w:r>
      <w:r w:rsidRPr="00D15959">
        <w:rPr>
          <w:rFonts w:asciiTheme="minorHAnsi" w:hAnsiTheme="minorHAnsi" w:cstheme="minorHAnsi"/>
          <w:sz w:val="22"/>
          <w:szCs w:val="22"/>
        </w:rPr>
        <w:t>than the current rate:</w:t>
      </w:r>
      <w:r w:rsidRPr="005A644E">
        <w:rPr>
          <w:rFonts w:asciiTheme="minorHAnsi" w:hAnsiTheme="minorHAnsi" w:cstheme="minorHAnsi"/>
          <w:sz w:val="22"/>
          <w:szCs w:val="22"/>
        </w:rPr>
        <w:t xml:space="preserve"> </w:t>
      </w:r>
    </w:p>
    <w:p w14:paraId="5FA128B5" w14:textId="49C69E9E" w:rsidR="005A644E" w:rsidRPr="005A644E" w:rsidRDefault="00443C70" w:rsidP="00443C70">
      <w:pPr>
        <w:pStyle w:val="TableColumnHead"/>
        <w:tabs>
          <w:tab w:val="right" w:pos="5760"/>
          <w:tab w:val="right" w:pos="7560"/>
          <w:tab w:val="right" w:pos="9270"/>
        </w:tabs>
        <w:rPr>
          <w:rFonts w:asciiTheme="minorHAnsi" w:hAnsiTheme="minorHAnsi" w:cstheme="minorHAnsi"/>
          <w:sz w:val="22"/>
          <w:szCs w:val="22"/>
        </w:rPr>
      </w:pPr>
      <w:r w:rsidRPr="00C3101C">
        <w:tab/>
      </w:r>
      <w:r w:rsidRPr="005A644E">
        <w:rPr>
          <w:rFonts w:asciiTheme="minorHAnsi" w:hAnsiTheme="minorHAnsi" w:cstheme="minorHAnsi"/>
          <w:sz w:val="22"/>
          <w:szCs w:val="22"/>
        </w:rPr>
        <w:t>1% Decrease</w:t>
      </w:r>
      <w:r w:rsidRPr="005A644E">
        <w:rPr>
          <w:rFonts w:asciiTheme="minorHAnsi" w:hAnsiTheme="minorHAnsi" w:cstheme="minorHAnsi"/>
          <w:sz w:val="22"/>
          <w:szCs w:val="22"/>
        </w:rPr>
        <w:tab/>
        <w:t>Trend Rate</w:t>
      </w:r>
      <w:r w:rsidRPr="005A644E">
        <w:rPr>
          <w:rFonts w:asciiTheme="minorHAnsi" w:hAnsiTheme="minorHAnsi" w:cstheme="minorHAnsi"/>
          <w:sz w:val="22"/>
          <w:szCs w:val="22"/>
        </w:rPr>
        <w:tab/>
        <w:t>1% Increase</w:t>
      </w:r>
      <w:r w:rsidRPr="005A644E">
        <w:rPr>
          <w:rFonts w:asciiTheme="minorHAnsi" w:hAnsiTheme="minorHAnsi" w:cstheme="minorHAnsi"/>
          <w:sz w:val="22"/>
          <w:szCs w:val="22"/>
        </w:rPr>
        <w:br/>
      </w:r>
      <w:r w:rsidRPr="005A644E">
        <w:rPr>
          <w:rFonts w:asciiTheme="minorHAnsi" w:hAnsiTheme="minorHAnsi" w:cstheme="minorHAnsi"/>
          <w:sz w:val="22"/>
          <w:szCs w:val="22"/>
        </w:rPr>
        <w:tab/>
        <w:t>(</w:t>
      </w:r>
      <w:r w:rsidR="00EE4F62">
        <w:rPr>
          <w:rFonts w:asciiTheme="minorHAnsi" w:hAnsiTheme="minorHAnsi" w:cstheme="minorHAnsi"/>
          <w:sz w:val="22"/>
          <w:szCs w:val="22"/>
        </w:rPr>
        <w:t>6.</w:t>
      </w:r>
      <w:r w:rsidR="00B27F12">
        <w:rPr>
          <w:rFonts w:asciiTheme="minorHAnsi" w:hAnsiTheme="minorHAnsi" w:cstheme="minorHAnsi"/>
          <w:sz w:val="22"/>
          <w:szCs w:val="22"/>
        </w:rPr>
        <w:t>50</w:t>
      </w:r>
      <w:proofErr w:type="gramStart"/>
      <w:r w:rsidRPr="005A644E">
        <w:rPr>
          <w:rFonts w:asciiTheme="minorHAnsi" w:hAnsiTheme="minorHAnsi" w:cstheme="minorHAnsi"/>
          <w:sz w:val="22"/>
          <w:szCs w:val="22"/>
        </w:rPr>
        <w:t xml:space="preserve">% </w:t>
      </w:r>
      <w:r w:rsidR="005A644E" w:rsidRPr="005A644E">
        <w:rPr>
          <w:rFonts w:asciiTheme="minorHAnsi" w:hAnsiTheme="minorHAnsi" w:cstheme="minorHAnsi"/>
          <w:sz w:val="22"/>
          <w:szCs w:val="22"/>
        </w:rPr>
        <w:tab/>
        <w:t>(</w:t>
      </w:r>
      <w:proofErr w:type="gramEnd"/>
      <w:r w:rsidR="00EE4F62">
        <w:rPr>
          <w:rFonts w:asciiTheme="minorHAnsi" w:hAnsiTheme="minorHAnsi" w:cstheme="minorHAnsi"/>
          <w:sz w:val="22"/>
          <w:szCs w:val="22"/>
        </w:rPr>
        <w:t>7.</w:t>
      </w:r>
      <w:r w:rsidR="00B27F12">
        <w:rPr>
          <w:rFonts w:asciiTheme="minorHAnsi" w:hAnsiTheme="minorHAnsi" w:cstheme="minorHAnsi"/>
          <w:sz w:val="22"/>
          <w:szCs w:val="22"/>
        </w:rPr>
        <w:t>50</w:t>
      </w:r>
      <w:r w:rsidR="005A644E" w:rsidRPr="005A644E">
        <w:rPr>
          <w:rFonts w:asciiTheme="minorHAnsi" w:hAnsiTheme="minorHAnsi" w:cstheme="minorHAnsi"/>
          <w:sz w:val="22"/>
          <w:szCs w:val="22"/>
        </w:rPr>
        <w:t>%</w:t>
      </w:r>
      <w:r w:rsidR="005A644E" w:rsidRPr="005A644E">
        <w:rPr>
          <w:rFonts w:asciiTheme="minorHAnsi" w:hAnsiTheme="minorHAnsi" w:cstheme="minorHAnsi"/>
          <w:sz w:val="22"/>
          <w:szCs w:val="22"/>
        </w:rPr>
        <w:tab/>
      </w:r>
      <w:r w:rsidR="00EE4F62">
        <w:rPr>
          <w:rFonts w:asciiTheme="minorHAnsi" w:hAnsiTheme="minorHAnsi" w:cstheme="minorHAnsi"/>
          <w:sz w:val="22"/>
          <w:szCs w:val="22"/>
        </w:rPr>
        <w:t>(8.</w:t>
      </w:r>
      <w:r w:rsidR="00B27F12">
        <w:rPr>
          <w:rFonts w:asciiTheme="minorHAnsi" w:hAnsiTheme="minorHAnsi" w:cstheme="minorHAnsi"/>
          <w:sz w:val="22"/>
          <w:szCs w:val="22"/>
        </w:rPr>
        <w:t>50</w:t>
      </w:r>
      <w:r w:rsidR="005A644E" w:rsidRPr="005A644E">
        <w:rPr>
          <w:rFonts w:asciiTheme="minorHAnsi" w:hAnsiTheme="minorHAnsi" w:cstheme="minorHAnsi"/>
          <w:sz w:val="22"/>
          <w:szCs w:val="22"/>
        </w:rPr>
        <w:t>%</w:t>
      </w:r>
    </w:p>
    <w:p w14:paraId="7B738134" w14:textId="0F9B33E2" w:rsidR="00443C70" w:rsidRPr="005A644E" w:rsidRDefault="005A644E" w:rsidP="00443C70">
      <w:pPr>
        <w:pStyle w:val="TableColumnHead"/>
        <w:tabs>
          <w:tab w:val="right" w:pos="5760"/>
          <w:tab w:val="right" w:pos="7560"/>
          <w:tab w:val="right" w:pos="9270"/>
        </w:tabs>
        <w:rPr>
          <w:rFonts w:asciiTheme="minorHAnsi" w:hAnsiTheme="minorHAnsi" w:cstheme="minorHAnsi"/>
          <w:sz w:val="22"/>
          <w:szCs w:val="22"/>
        </w:rPr>
      </w:pPr>
      <w:r w:rsidRPr="005A644E">
        <w:rPr>
          <w:rFonts w:asciiTheme="minorHAnsi" w:hAnsiTheme="minorHAnsi" w:cstheme="minorHAnsi"/>
          <w:sz w:val="22"/>
          <w:szCs w:val="22"/>
        </w:rPr>
        <w:tab/>
      </w:r>
      <w:r w:rsidR="00443C70" w:rsidRPr="005A644E">
        <w:rPr>
          <w:rFonts w:asciiTheme="minorHAnsi" w:hAnsiTheme="minorHAnsi" w:cstheme="minorHAnsi"/>
          <w:sz w:val="22"/>
          <w:szCs w:val="22"/>
        </w:rPr>
        <w:t>decreasing</w:t>
      </w:r>
      <w:r w:rsidR="00443C70" w:rsidRPr="005A644E">
        <w:rPr>
          <w:rFonts w:asciiTheme="minorHAnsi" w:hAnsiTheme="minorHAnsi" w:cstheme="minorHAnsi"/>
          <w:sz w:val="22"/>
          <w:szCs w:val="22"/>
        </w:rPr>
        <w:tab/>
        <w:t xml:space="preserve"> </w:t>
      </w:r>
      <w:proofErr w:type="spellStart"/>
      <w:r w:rsidR="00443C70" w:rsidRPr="005A644E">
        <w:rPr>
          <w:rFonts w:asciiTheme="minorHAnsi" w:hAnsiTheme="minorHAnsi" w:cstheme="minorHAnsi"/>
          <w:sz w:val="22"/>
          <w:szCs w:val="22"/>
        </w:rPr>
        <w:t>decreasing</w:t>
      </w:r>
      <w:proofErr w:type="spellEnd"/>
      <w:r w:rsidRPr="005A644E">
        <w:rPr>
          <w:rFonts w:asciiTheme="minorHAnsi" w:hAnsiTheme="minorHAnsi" w:cstheme="minorHAnsi"/>
          <w:sz w:val="22"/>
          <w:szCs w:val="22"/>
        </w:rPr>
        <w:tab/>
      </w:r>
      <w:r w:rsidR="00443C70" w:rsidRPr="005A644E">
        <w:rPr>
          <w:rFonts w:asciiTheme="minorHAnsi" w:hAnsiTheme="minorHAnsi" w:cstheme="minorHAnsi"/>
          <w:sz w:val="22"/>
          <w:szCs w:val="22"/>
        </w:rPr>
        <w:t xml:space="preserve"> </w:t>
      </w:r>
      <w:proofErr w:type="spellStart"/>
      <w:r w:rsidR="00443C70" w:rsidRPr="005A644E">
        <w:rPr>
          <w:rFonts w:asciiTheme="minorHAnsi" w:hAnsiTheme="minorHAnsi" w:cstheme="minorHAnsi"/>
          <w:sz w:val="22"/>
          <w:szCs w:val="22"/>
        </w:rPr>
        <w:t>decreasing</w:t>
      </w:r>
      <w:proofErr w:type="spellEnd"/>
      <w:r w:rsidR="00443C70" w:rsidRPr="005A644E">
        <w:rPr>
          <w:rFonts w:asciiTheme="minorHAnsi" w:hAnsiTheme="minorHAnsi" w:cstheme="minorHAnsi"/>
          <w:sz w:val="22"/>
          <w:szCs w:val="22"/>
        </w:rPr>
        <w:br/>
      </w:r>
      <w:r w:rsidR="00443C70" w:rsidRPr="005A644E">
        <w:rPr>
          <w:rFonts w:asciiTheme="minorHAnsi" w:hAnsiTheme="minorHAnsi" w:cstheme="minorHAnsi"/>
          <w:sz w:val="22"/>
          <w:szCs w:val="22"/>
        </w:rPr>
        <w:tab/>
        <w:t xml:space="preserve">to </w:t>
      </w:r>
      <w:r w:rsidR="00BA40F1">
        <w:rPr>
          <w:rFonts w:asciiTheme="minorHAnsi" w:hAnsiTheme="minorHAnsi" w:cstheme="minorHAnsi"/>
          <w:sz w:val="22"/>
          <w:szCs w:val="22"/>
        </w:rPr>
        <w:t>3.5</w:t>
      </w:r>
      <w:r w:rsidR="00306456">
        <w:rPr>
          <w:rFonts w:asciiTheme="minorHAnsi" w:hAnsiTheme="minorHAnsi" w:cstheme="minorHAnsi"/>
          <w:sz w:val="22"/>
          <w:szCs w:val="22"/>
        </w:rPr>
        <w:t>0</w:t>
      </w:r>
      <w:r w:rsidR="00443C70" w:rsidRPr="005A644E">
        <w:rPr>
          <w:rFonts w:asciiTheme="minorHAnsi" w:hAnsiTheme="minorHAnsi" w:cstheme="minorHAnsi"/>
          <w:sz w:val="22"/>
          <w:szCs w:val="22"/>
        </w:rPr>
        <w:t>%)</w:t>
      </w:r>
      <w:r w:rsidR="00443C70" w:rsidRPr="005A644E">
        <w:rPr>
          <w:rFonts w:asciiTheme="minorHAnsi" w:hAnsiTheme="minorHAnsi" w:cstheme="minorHAnsi"/>
          <w:sz w:val="22"/>
          <w:szCs w:val="22"/>
        </w:rPr>
        <w:tab/>
        <w:t xml:space="preserve">to </w:t>
      </w:r>
      <w:r w:rsidR="00BA40F1">
        <w:rPr>
          <w:rFonts w:asciiTheme="minorHAnsi" w:hAnsiTheme="minorHAnsi" w:cstheme="minorHAnsi"/>
          <w:sz w:val="22"/>
          <w:szCs w:val="22"/>
        </w:rPr>
        <w:t>4.5</w:t>
      </w:r>
      <w:r w:rsidR="00306456">
        <w:rPr>
          <w:rFonts w:asciiTheme="minorHAnsi" w:hAnsiTheme="minorHAnsi" w:cstheme="minorHAnsi"/>
          <w:sz w:val="22"/>
          <w:szCs w:val="22"/>
        </w:rPr>
        <w:t>0</w:t>
      </w:r>
      <w:r w:rsidR="00443C70" w:rsidRPr="005A644E">
        <w:rPr>
          <w:rFonts w:asciiTheme="minorHAnsi" w:hAnsiTheme="minorHAnsi" w:cstheme="minorHAnsi"/>
          <w:sz w:val="22"/>
          <w:szCs w:val="22"/>
        </w:rPr>
        <w:t>%)</w:t>
      </w:r>
      <w:r w:rsidR="00443C70" w:rsidRPr="005A644E">
        <w:rPr>
          <w:rFonts w:asciiTheme="minorHAnsi" w:hAnsiTheme="minorHAnsi" w:cstheme="minorHAnsi"/>
          <w:sz w:val="22"/>
          <w:szCs w:val="22"/>
        </w:rPr>
        <w:tab/>
        <w:t xml:space="preserve">to </w:t>
      </w:r>
      <w:r w:rsidR="00BA40F1">
        <w:rPr>
          <w:rFonts w:asciiTheme="minorHAnsi" w:hAnsiTheme="minorHAnsi" w:cstheme="minorHAnsi"/>
          <w:sz w:val="22"/>
          <w:szCs w:val="22"/>
        </w:rPr>
        <w:t>5.5</w:t>
      </w:r>
      <w:r w:rsidR="00306456">
        <w:rPr>
          <w:rFonts w:asciiTheme="minorHAnsi" w:hAnsiTheme="minorHAnsi" w:cstheme="minorHAnsi"/>
          <w:sz w:val="22"/>
          <w:szCs w:val="22"/>
        </w:rPr>
        <w:t>0</w:t>
      </w:r>
      <w:r w:rsidR="00443C70" w:rsidRPr="005A644E">
        <w:rPr>
          <w:rFonts w:asciiTheme="minorHAnsi" w:hAnsiTheme="minorHAnsi" w:cstheme="minorHAnsi"/>
          <w:sz w:val="22"/>
          <w:szCs w:val="22"/>
        </w:rPr>
        <w:t>%)</w:t>
      </w:r>
    </w:p>
    <w:p w14:paraId="7B738135" w14:textId="77777777" w:rsidR="00443C70" w:rsidRPr="005A644E" w:rsidRDefault="00443C70" w:rsidP="00443C70">
      <w:pPr>
        <w:pStyle w:val="TableColumnHead"/>
        <w:tabs>
          <w:tab w:val="right" w:pos="5760"/>
          <w:tab w:val="right" w:pos="7560"/>
          <w:tab w:val="right" w:pos="9270"/>
        </w:tabs>
        <w:rPr>
          <w:rFonts w:asciiTheme="minorHAnsi" w:hAnsiTheme="minorHAnsi" w:cstheme="minorHAnsi"/>
          <w:sz w:val="22"/>
          <w:szCs w:val="22"/>
          <w:u w:val="single"/>
        </w:rPr>
      </w:pPr>
      <w:r w:rsidRPr="005A644E">
        <w:rPr>
          <w:rFonts w:asciiTheme="minorHAnsi" w:hAnsiTheme="minorHAnsi" w:cstheme="minorHAnsi"/>
          <w:sz w:val="22"/>
          <w:szCs w:val="22"/>
          <w:u w:val="single"/>
        </w:rPr>
        <w:tab/>
      </w:r>
      <w:r w:rsidRPr="005A644E">
        <w:rPr>
          <w:rFonts w:asciiTheme="minorHAnsi" w:hAnsiTheme="minorHAnsi" w:cstheme="minorHAnsi"/>
          <w:sz w:val="22"/>
          <w:szCs w:val="22"/>
          <w:u w:val="single"/>
        </w:rPr>
        <w:tab/>
      </w:r>
      <w:r w:rsidRPr="005A644E">
        <w:rPr>
          <w:rFonts w:asciiTheme="minorHAnsi" w:hAnsiTheme="minorHAnsi" w:cstheme="minorHAnsi"/>
          <w:sz w:val="22"/>
          <w:szCs w:val="22"/>
          <w:u w:val="single"/>
        </w:rPr>
        <w:tab/>
      </w:r>
    </w:p>
    <w:p w14:paraId="7B738136" w14:textId="77777777" w:rsidR="00443C70" w:rsidRPr="005A644E" w:rsidRDefault="00443C70" w:rsidP="00443C70">
      <w:pPr>
        <w:pStyle w:val="Tablecopy"/>
        <w:tabs>
          <w:tab w:val="left" w:pos="360"/>
          <w:tab w:val="left" w:pos="4860"/>
          <w:tab w:val="right" w:pos="5760"/>
          <w:tab w:val="left" w:pos="6660"/>
          <w:tab w:val="right" w:pos="7560"/>
          <w:tab w:val="left" w:pos="8190"/>
          <w:tab w:val="right" w:pos="9270"/>
        </w:tabs>
        <w:rPr>
          <w:rFonts w:asciiTheme="minorHAnsi" w:hAnsiTheme="minorHAnsi" w:cstheme="minorHAnsi"/>
          <w:sz w:val="22"/>
          <w:szCs w:val="22"/>
        </w:rPr>
      </w:pPr>
      <w:r w:rsidRPr="005A644E">
        <w:rPr>
          <w:rFonts w:asciiTheme="minorHAnsi" w:hAnsiTheme="minorHAnsi" w:cstheme="minorHAnsi"/>
          <w:sz w:val="22"/>
          <w:szCs w:val="22"/>
        </w:rPr>
        <w:t>OPEB Liability</w:t>
      </w:r>
      <w:r w:rsidRPr="005A644E">
        <w:rPr>
          <w:rFonts w:asciiTheme="minorHAnsi" w:hAnsiTheme="minorHAnsi" w:cstheme="minorHAnsi"/>
          <w:sz w:val="22"/>
          <w:szCs w:val="22"/>
        </w:rPr>
        <w:tab/>
      </w:r>
      <w:r w:rsidR="00FE02CA" w:rsidRPr="005A644E">
        <w:rPr>
          <w:rFonts w:asciiTheme="minorHAnsi" w:hAnsiTheme="minorHAnsi" w:cstheme="minorHAnsi"/>
          <w:sz w:val="22"/>
          <w:szCs w:val="22"/>
        </w:rPr>
        <w:t>$</w:t>
      </w:r>
      <w:r w:rsidR="00B335BF" w:rsidRPr="005A644E">
        <w:rPr>
          <w:rFonts w:asciiTheme="minorHAnsi" w:hAnsiTheme="minorHAnsi" w:cstheme="minorHAnsi"/>
          <w:sz w:val="22"/>
          <w:szCs w:val="22"/>
          <w:highlight w:val="green"/>
        </w:rPr>
        <w:t>App A Col J</w:t>
      </w:r>
      <w:r w:rsidRPr="005A644E">
        <w:rPr>
          <w:rFonts w:asciiTheme="minorHAnsi" w:hAnsiTheme="minorHAnsi" w:cstheme="minorHAnsi"/>
          <w:sz w:val="22"/>
          <w:szCs w:val="22"/>
        </w:rPr>
        <w:tab/>
      </w:r>
      <w:r w:rsidR="00FE02CA" w:rsidRPr="005A644E">
        <w:rPr>
          <w:rFonts w:asciiTheme="minorHAnsi" w:hAnsiTheme="minorHAnsi" w:cstheme="minorHAnsi"/>
          <w:sz w:val="22"/>
          <w:szCs w:val="22"/>
        </w:rPr>
        <w:t>$</w:t>
      </w:r>
      <w:r w:rsidR="00B335BF" w:rsidRPr="005A644E">
        <w:rPr>
          <w:rFonts w:asciiTheme="minorHAnsi" w:hAnsiTheme="minorHAnsi" w:cstheme="minorHAnsi"/>
          <w:sz w:val="22"/>
          <w:szCs w:val="22"/>
          <w:highlight w:val="green"/>
        </w:rPr>
        <w:t>App A Col K</w:t>
      </w:r>
      <w:r w:rsidRPr="005A644E">
        <w:rPr>
          <w:rFonts w:asciiTheme="minorHAnsi" w:hAnsiTheme="minorHAnsi" w:cstheme="minorHAnsi"/>
          <w:sz w:val="22"/>
          <w:szCs w:val="22"/>
        </w:rPr>
        <w:tab/>
      </w:r>
      <w:r w:rsidR="00FE02CA" w:rsidRPr="005A644E">
        <w:rPr>
          <w:rFonts w:asciiTheme="minorHAnsi" w:hAnsiTheme="minorHAnsi" w:cstheme="minorHAnsi"/>
          <w:sz w:val="22"/>
          <w:szCs w:val="22"/>
        </w:rPr>
        <w:t>$</w:t>
      </w:r>
      <w:r w:rsidR="00B335BF" w:rsidRPr="005A644E">
        <w:rPr>
          <w:rFonts w:asciiTheme="minorHAnsi" w:hAnsiTheme="minorHAnsi" w:cstheme="minorHAnsi"/>
          <w:sz w:val="22"/>
          <w:szCs w:val="22"/>
          <w:highlight w:val="green"/>
        </w:rPr>
        <w:t>App A Col L</w:t>
      </w:r>
    </w:p>
    <w:p w14:paraId="7B738137" w14:textId="439D45F7" w:rsidR="00443C70" w:rsidRPr="005A644E" w:rsidRDefault="00443C70" w:rsidP="005A644E">
      <w:pPr>
        <w:pStyle w:val="Heading3"/>
        <w:spacing w:before="0" w:after="0" w:line="259" w:lineRule="auto"/>
        <w:jc w:val="both"/>
        <w:rPr>
          <w:rFonts w:asciiTheme="minorHAnsi" w:hAnsiTheme="minorHAnsi" w:cstheme="minorHAnsi"/>
          <w:sz w:val="22"/>
          <w:szCs w:val="22"/>
        </w:rPr>
      </w:pPr>
      <w:bookmarkStart w:id="1" w:name="_Toc398627482"/>
      <w:bookmarkStart w:id="2" w:name="_Ref461526631"/>
    </w:p>
    <w:p w14:paraId="444C4A4D" w14:textId="77777777" w:rsidR="005858A8" w:rsidRDefault="005858A8" w:rsidP="008D35A2">
      <w:pPr>
        <w:pStyle w:val="Heading3"/>
        <w:spacing w:before="0" w:after="0" w:line="259" w:lineRule="auto"/>
        <w:jc w:val="center"/>
        <w:rPr>
          <w:rFonts w:asciiTheme="minorHAnsi" w:hAnsiTheme="minorHAnsi" w:cstheme="minorHAnsi"/>
          <w:b/>
          <w:sz w:val="22"/>
          <w:szCs w:val="22"/>
        </w:rPr>
      </w:pPr>
    </w:p>
    <w:p w14:paraId="4D42E1BD" w14:textId="77777777" w:rsidR="00490466" w:rsidRPr="00490466" w:rsidRDefault="00490466" w:rsidP="00490466">
      <w:pPr>
        <w:pStyle w:val="AonBodyCopy"/>
      </w:pPr>
    </w:p>
    <w:p w14:paraId="399F20FE" w14:textId="77777777" w:rsidR="006E6238" w:rsidRDefault="006E6238" w:rsidP="008D35A2">
      <w:pPr>
        <w:pStyle w:val="Heading3"/>
        <w:spacing w:before="0" w:after="0" w:line="259" w:lineRule="auto"/>
        <w:jc w:val="center"/>
        <w:rPr>
          <w:rFonts w:asciiTheme="minorHAnsi" w:hAnsiTheme="minorHAnsi" w:cstheme="minorHAnsi"/>
          <w:b/>
          <w:sz w:val="22"/>
          <w:szCs w:val="22"/>
        </w:rPr>
        <w:sectPr w:rsidR="006E6238" w:rsidSect="005A644E">
          <w:pgSz w:w="12240" w:h="15840"/>
          <w:pgMar w:top="1440" w:right="1260" w:bottom="1440" w:left="1440" w:header="720" w:footer="720" w:gutter="0"/>
          <w:cols w:space="720"/>
          <w:docGrid w:linePitch="360"/>
        </w:sectPr>
      </w:pPr>
    </w:p>
    <w:p w14:paraId="1747AD2B" w14:textId="77777777" w:rsidR="005C517E" w:rsidRPr="008D35A2" w:rsidRDefault="005C517E" w:rsidP="005C517E">
      <w:pPr>
        <w:pStyle w:val="Heading3"/>
        <w:spacing w:before="0" w:after="0" w:line="259" w:lineRule="auto"/>
        <w:jc w:val="center"/>
        <w:rPr>
          <w:rFonts w:asciiTheme="minorHAnsi" w:hAnsiTheme="minorHAnsi" w:cstheme="minorHAnsi"/>
          <w:b/>
          <w:sz w:val="22"/>
          <w:szCs w:val="22"/>
        </w:rPr>
      </w:pPr>
      <w:r w:rsidRPr="005A644E">
        <w:rPr>
          <w:rFonts w:asciiTheme="minorHAnsi" w:hAnsiTheme="minorHAnsi" w:cstheme="minorHAnsi"/>
          <w:b/>
          <w:sz w:val="22"/>
          <w:szCs w:val="22"/>
        </w:rPr>
        <w:lastRenderedPageBreak/>
        <w:t>Required Supplementary Information</w:t>
      </w:r>
    </w:p>
    <w:p w14:paraId="0CFF2E7B" w14:textId="06DB561F" w:rsidR="000436F5" w:rsidRPr="005A644E" w:rsidRDefault="000436F5" w:rsidP="008D35A2">
      <w:pPr>
        <w:spacing w:after="0" w:line="259" w:lineRule="auto"/>
        <w:jc w:val="center"/>
        <w:rPr>
          <w:rFonts w:cstheme="minorHAnsi"/>
          <w:b/>
          <w:bCs/>
        </w:rPr>
      </w:pPr>
      <w:r w:rsidRPr="005A644E">
        <w:rPr>
          <w:rFonts w:cstheme="minorHAnsi"/>
          <w:b/>
          <w:bCs/>
        </w:rPr>
        <w:t>Commonwealth of Virginia State Health Plans Program</w:t>
      </w:r>
    </w:p>
    <w:p w14:paraId="6800FC08" w14:textId="77777777" w:rsidR="000436F5" w:rsidRPr="005A644E" w:rsidRDefault="00253EAD" w:rsidP="008D35A2">
      <w:pPr>
        <w:spacing w:after="0" w:line="259" w:lineRule="auto"/>
        <w:jc w:val="center"/>
        <w:rPr>
          <w:rFonts w:cstheme="minorHAnsi"/>
          <w:b/>
          <w:bCs/>
        </w:rPr>
      </w:pPr>
      <w:r w:rsidRPr="005A644E">
        <w:rPr>
          <w:rFonts w:cstheme="minorHAnsi"/>
          <w:b/>
          <w:bCs/>
        </w:rPr>
        <w:t>for Pre-Medicare Retirees</w:t>
      </w:r>
    </w:p>
    <w:p w14:paraId="7B73813B" w14:textId="7CB5C118" w:rsidR="00443C70" w:rsidRPr="005A644E" w:rsidRDefault="00253EAD" w:rsidP="008D35A2">
      <w:pPr>
        <w:pStyle w:val="AonBodyCopy"/>
        <w:spacing w:after="0" w:line="259" w:lineRule="auto"/>
        <w:jc w:val="center"/>
        <w:rPr>
          <w:rFonts w:asciiTheme="minorHAnsi" w:hAnsiTheme="minorHAnsi" w:cstheme="minorHAnsi"/>
          <w:b/>
          <w:bCs/>
          <w:sz w:val="22"/>
          <w:szCs w:val="22"/>
        </w:rPr>
      </w:pPr>
      <w:r w:rsidRPr="005A644E">
        <w:rPr>
          <w:rFonts w:asciiTheme="minorHAnsi" w:hAnsiTheme="minorHAnsi" w:cstheme="minorHAnsi"/>
          <w:b/>
          <w:bCs/>
          <w:sz w:val="22"/>
          <w:szCs w:val="22"/>
        </w:rPr>
        <w:t xml:space="preserve">For the Fiscal Year Ended June 30, </w:t>
      </w:r>
      <w:bookmarkEnd w:id="1"/>
      <w:bookmarkEnd w:id="2"/>
      <w:r w:rsidR="0099352E">
        <w:rPr>
          <w:rFonts w:asciiTheme="minorHAnsi" w:hAnsiTheme="minorHAnsi" w:cstheme="minorHAnsi"/>
          <w:b/>
          <w:bCs/>
          <w:sz w:val="22"/>
          <w:szCs w:val="22"/>
        </w:rPr>
        <w:t>2025</w:t>
      </w:r>
    </w:p>
    <w:p w14:paraId="42FAF457" w14:textId="5259AE6E" w:rsidR="00157694" w:rsidRDefault="00E47AE5" w:rsidP="0082736C">
      <w:pPr>
        <w:spacing w:after="0" w:line="259" w:lineRule="auto"/>
        <w:jc w:val="center"/>
      </w:pPr>
      <w:r w:rsidRPr="00E47AE5">
        <w:rPr>
          <w:noProof/>
        </w:rPr>
        <w:drawing>
          <wp:inline distT="0" distB="0" distL="0" distR="0" wp14:anchorId="51C1CE83" wp14:editId="6347BE3A">
            <wp:extent cx="7734300" cy="5543550"/>
            <wp:effectExtent l="0" t="0" r="0" b="0"/>
            <wp:docPr id="14849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34300" cy="5543550"/>
                    </a:xfrm>
                    <a:prstGeom prst="rect">
                      <a:avLst/>
                    </a:prstGeom>
                    <a:noFill/>
                    <a:ln>
                      <a:noFill/>
                    </a:ln>
                  </pic:spPr>
                </pic:pic>
              </a:graphicData>
            </a:graphic>
          </wp:inline>
        </w:drawing>
      </w:r>
      <w:r w:rsidR="00157694">
        <w:fldChar w:fldCharType="begin"/>
      </w:r>
      <w:r w:rsidR="00157694">
        <w:instrText xml:space="preserve"> LINK </w:instrText>
      </w:r>
      <w:r w:rsidR="00181C2F">
        <w:instrText xml:space="preserve">Excel.Sheet.12 https://covgov-my.sharepoint.com/personal/denise_sandlin_dhrm_virginia_gov/Documents/Documents/GASB/Schedule%20of%20Employer's%20Share%20to%20Total%20OPEB%20Liability-chart.xlsx Sheet1!R3C1:R19C9 </w:instrText>
      </w:r>
      <w:r w:rsidR="00157694">
        <w:instrText xml:space="preserve">\a \f 4 \h </w:instrText>
      </w:r>
      <w:r w:rsidR="00157694">
        <w:fldChar w:fldCharType="separate"/>
      </w:r>
    </w:p>
    <w:p w14:paraId="24048A66" w14:textId="1498DC73" w:rsidR="00157694" w:rsidRDefault="00157694" w:rsidP="0082736C">
      <w:pPr>
        <w:spacing w:after="0" w:line="259" w:lineRule="auto"/>
        <w:jc w:val="center"/>
        <w:rPr>
          <w:rFonts w:eastAsia="MS Mincho" w:cstheme="minorHAnsi"/>
          <w:b/>
        </w:rPr>
        <w:sectPr w:rsidR="00157694" w:rsidSect="00B47A84">
          <w:pgSz w:w="15840" w:h="12240" w:orient="landscape"/>
          <w:pgMar w:top="1440" w:right="720" w:bottom="432" w:left="864" w:header="720" w:footer="720" w:gutter="0"/>
          <w:cols w:space="720"/>
          <w:docGrid w:linePitch="360"/>
        </w:sectPr>
      </w:pPr>
      <w:r>
        <w:rPr>
          <w:rFonts w:eastAsia="MS Mincho" w:cstheme="minorHAnsi"/>
          <w:b/>
        </w:rPr>
        <w:fldChar w:fldCharType="end"/>
      </w:r>
    </w:p>
    <w:p w14:paraId="4CE9581A" w14:textId="138747E2" w:rsidR="00105983" w:rsidRPr="005A644E" w:rsidRDefault="00D03BA4" w:rsidP="008D0082">
      <w:pPr>
        <w:spacing w:after="0" w:line="259" w:lineRule="auto"/>
        <w:jc w:val="center"/>
        <w:rPr>
          <w:rFonts w:eastAsia="MS Mincho" w:cstheme="minorHAnsi"/>
          <w:b/>
        </w:rPr>
      </w:pPr>
      <w:proofErr w:type="gramStart"/>
      <w:r w:rsidRPr="005A644E">
        <w:rPr>
          <w:rFonts w:eastAsia="MS Mincho" w:cstheme="minorHAnsi"/>
          <w:b/>
        </w:rPr>
        <w:lastRenderedPageBreak/>
        <w:t>Notes</w:t>
      </w:r>
      <w:r w:rsidR="00105983" w:rsidRPr="005A644E">
        <w:rPr>
          <w:rFonts w:eastAsia="MS Mincho" w:cstheme="minorHAnsi"/>
          <w:b/>
        </w:rPr>
        <w:t xml:space="preserve"> </w:t>
      </w:r>
      <w:r>
        <w:rPr>
          <w:rFonts w:eastAsia="MS Mincho" w:cstheme="minorHAnsi"/>
          <w:b/>
        </w:rPr>
        <w:t>to</w:t>
      </w:r>
      <w:proofErr w:type="gramEnd"/>
      <w:r>
        <w:rPr>
          <w:rFonts w:eastAsia="MS Mincho" w:cstheme="minorHAnsi"/>
          <w:b/>
        </w:rPr>
        <w:t xml:space="preserve"> </w:t>
      </w:r>
      <w:r w:rsidR="00105983" w:rsidRPr="005A644E">
        <w:rPr>
          <w:rFonts w:eastAsia="MS Mincho" w:cstheme="minorHAnsi"/>
          <w:b/>
        </w:rPr>
        <w:t>Required Supplementary Information</w:t>
      </w:r>
    </w:p>
    <w:p w14:paraId="667CEAA4" w14:textId="0684C4A2" w:rsidR="00D16E5A" w:rsidRDefault="00105983" w:rsidP="008D0082">
      <w:pPr>
        <w:pStyle w:val="AonBodyCopy"/>
        <w:spacing w:after="0" w:line="259" w:lineRule="auto"/>
        <w:jc w:val="center"/>
        <w:rPr>
          <w:rFonts w:asciiTheme="minorHAnsi" w:hAnsiTheme="minorHAnsi" w:cstheme="minorHAnsi"/>
          <w:b/>
          <w:bCs/>
          <w:sz w:val="22"/>
          <w:szCs w:val="22"/>
        </w:rPr>
      </w:pPr>
      <w:r w:rsidRPr="005A644E">
        <w:rPr>
          <w:rFonts w:asciiTheme="minorHAnsi" w:hAnsiTheme="minorHAnsi" w:cstheme="minorHAnsi"/>
          <w:b/>
          <w:bCs/>
          <w:sz w:val="22"/>
          <w:szCs w:val="22"/>
        </w:rPr>
        <w:t xml:space="preserve">For the Fiscal Year Ended June 30, </w:t>
      </w:r>
      <w:r w:rsidR="0099352E">
        <w:rPr>
          <w:rFonts w:asciiTheme="minorHAnsi" w:hAnsiTheme="minorHAnsi" w:cstheme="minorHAnsi"/>
          <w:b/>
          <w:bCs/>
          <w:sz w:val="22"/>
          <w:szCs w:val="22"/>
        </w:rPr>
        <w:t>2025</w:t>
      </w:r>
    </w:p>
    <w:p w14:paraId="3C35BDB8" w14:textId="77777777" w:rsidR="00D16E5A" w:rsidRPr="00C3101C" w:rsidRDefault="00D16E5A" w:rsidP="008D0082">
      <w:pPr>
        <w:pStyle w:val="AonBodyCopy"/>
        <w:spacing w:after="0" w:line="259" w:lineRule="auto"/>
        <w:jc w:val="center"/>
        <w:rPr>
          <w:rFonts w:cs="Arial"/>
          <w:b/>
          <w:bCs/>
        </w:rPr>
      </w:pPr>
    </w:p>
    <w:p w14:paraId="0028E32B" w14:textId="16447EE0" w:rsidR="008D0082" w:rsidRDefault="00105983" w:rsidP="00A84CE9">
      <w:pPr>
        <w:pStyle w:val="AonBodyCopy"/>
        <w:spacing w:after="160" w:line="259" w:lineRule="auto"/>
        <w:rPr>
          <w:rFonts w:asciiTheme="minorHAnsi" w:hAnsiTheme="minorHAnsi" w:cstheme="minorHAnsi"/>
          <w:sz w:val="22"/>
          <w:szCs w:val="22"/>
        </w:rPr>
      </w:pPr>
      <w:r w:rsidRPr="005A644E">
        <w:rPr>
          <w:rFonts w:asciiTheme="minorHAnsi" w:hAnsiTheme="minorHAnsi" w:cstheme="minorHAnsi"/>
          <w:sz w:val="22"/>
          <w:szCs w:val="22"/>
        </w:rPr>
        <w:t>There are no assets accumulated in</w:t>
      </w:r>
      <w:r w:rsidR="009F368B">
        <w:rPr>
          <w:rFonts w:asciiTheme="minorHAnsi" w:hAnsiTheme="minorHAnsi" w:cstheme="minorHAnsi"/>
          <w:sz w:val="22"/>
          <w:szCs w:val="22"/>
        </w:rPr>
        <w:t xml:space="preserve"> a </w:t>
      </w:r>
      <w:r w:rsidR="009F368B" w:rsidRPr="005A644E">
        <w:rPr>
          <w:rFonts w:asciiTheme="minorHAnsi" w:hAnsiTheme="minorHAnsi" w:cstheme="minorHAnsi"/>
          <w:sz w:val="22"/>
          <w:szCs w:val="22"/>
        </w:rPr>
        <w:t>trust</w:t>
      </w:r>
      <w:r w:rsidRPr="005A644E">
        <w:rPr>
          <w:rFonts w:asciiTheme="minorHAnsi" w:hAnsiTheme="minorHAnsi" w:cstheme="minorHAnsi"/>
          <w:sz w:val="22"/>
          <w:szCs w:val="22"/>
        </w:rPr>
        <w:t xml:space="preserve"> to pay related beneﬁts.</w:t>
      </w:r>
    </w:p>
    <w:p w14:paraId="5EF934A8" w14:textId="77777777" w:rsidR="00105983" w:rsidRDefault="00105983" w:rsidP="00A84CE9">
      <w:pPr>
        <w:pStyle w:val="AonBodyCopy"/>
        <w:spacing w:after="160" w:line="259" w:lineRule="auto"/>
        <w:rPr>
          <w:rFonts w:asciiTheme="minorHAnsi" w:hAnsiTheme="minorHAnsi" w:cstheme="minorHAnsi"/>
          <w:sz w:val="22"/>
          <w:szCs w:val="22"/>
        </w:rPr>
      </w:pPr>
      <w:r w:rsidRPr="005A644E">
        <w:rPr>
          <w:rFonts w:asciiTheme="minorHAnsi" w:eastAsia="Times New Roman" w:hAnsiTheme="minorHAnsi" w:cstheme="minorHAnsi"/>
          <w:b/>
          <w:sz w:val="22"/>
          <w:szCs w:val="22"/>
        </w:rPr>
        <w:t xml:space="preserve">Changes of benefit terms </w:t>
      </w:r>
      <w:r w:rsidRPr="005A644E">
        <w:rPr>
          <w:rFonts w:asciiTheme="minorHAnsi" w:eastAsia="Times New Roman" w:hAnsiTheme="minorHAnsi" w:cstheme="minorHAnsi"/>
          <w:sz w:val="22"/>
          <w:szCs w:val="22"/>
        </w:rPr>
        <w:t>–</w:t>
      </w:r>
      <w:r w:rsidRPr="005A644E">
        <w:rPr>
          <w:rFonts w:asciiTheme="minorHAnsi" w:hAnsiTheme="minorHAnsi" w:cstheme="minorHAnsi"/>
          <w:sz w:val="22"/>
          <w:szCs w:val="22"/>
        </w:rPr>
        <w:t xml:space="preserve"> There have been no changes to the benefit provisions since the prior actuarial valuation.  </w:t>
      </w:r>
    </w:p>
    <w:p w14:paraId="1A668A75" w14:textId="0A817280" w:rsidR="001533A7" w:rsidRPr="00B60604" w:rsidRDefault="001533A7" w:rsidP="001533A7">
      <w:pPr>
        <w:rPr>
          <w:rFonts w:cstheme="minorHAnsi"/>
          <w:iCs/>
        </w:rPr>
      </w:pPr>
      <w:r w:rsidRPr="00B63FE6">
        <w:rPr>
          <w:rFonts w:cstheme="minorHAnsi"/>
          <w:i/>
        </w:rPr>
        <w:t>Changes of Assumptions:</w:t>
      </w:r>
      <w:r>
        <w:rPr>
          <w:rFonts w:cstheme="minorHAnsi"/>
          <w:i/>
        </w:rPr>
        <w:t xml:space="preserve"> </w:t>
      </w:r>
      <w:r w:rsidRPr="00B60604">
        <w:rPr>
          <w:rFonts w:cstheme="minorHAnsi"/>
          <w:iCs/>
        </w:rPr>
        <w:t xml:space="preserve">There were not any changes in assumptions since the </w:t>
      </w:r>
      <w:r w:rsidR="002027AD" w:rsidRPr="00B60604">
        <w:rPr>
          <w:rFonts w:cstheme="minorHAnsi"/>
          <w:iCs/>
        </w:rPr>
        <w:t>date of June 30, 2022, measurement</w:t>
      </w:r>
      <w:r w:rsidRPr="00B60604">
        <w:rPr>
          <w:rFonts w:cstheme="minorHAnsi"/>
          <w:iCs/>
        </w:rPr>
        <w:t>.</w:t>
      </w:r>
      <w:r>
        <w:rPr>
          <w:rFonts w:cstheme="minorHAnsi"/>
          <w:i/>
        </w:rPr>
        <w:t xml:space="preserve">  </w:t>
      </w:r>
      <w:r w:rsidRPr="00B63FE6">
        <w:rPr>
          <w:rFonts w:cstheme="minorHAnsi"/>
          <w:i/>
        </w:rPr>
        <w:t xml:space="preserve"> </w:t>
      </w:r>
      <w:r w:rsidRPr="00B60604">
        <w:rPr>
          <w:rFonts w:cstheme="minorHAnsi"/>
          <w:iCs/>
        </w:rPr>
        <w:t xml:space="preserve">The following remained constant </w:t>
      </w:r>
      <w:r>
        <w:rPr>
          <w:rFonts w:cstheme="minorHAnsi"/>
          <w:iCs/>
        </w:rPr>
        <w:t xml:space="preserve">since </w:t>
      </w:r>
      <w:r w:rsidRPr="00B60604">
        <w:rPr>
          <w:rFonts w:cstheme="minorHAnsi"/>
          <w:iCs/>
        </w:rPr>
        <w:t>the prior measurement date</w:t>
      </w:r>
      <w:r>
        <w:rPr>
          <w:rFonts w:cstheme="minorHAnsi"/>
          <w:iCs/>
        </w:rPr>
        <w:t>:</w:t>
      </w:r>
    </w:p>
    <w:p w14:paraId="6ADA75E1" w14:textId="77777777" w:rsidR="001533A7" w:rsidRPr="00357512" w:rsidRDefault="001533A7" w:rsidP="001533A7">
      <w:pPr>
        <w:pStyle w:val="ListParagraph"/>
        <w:numPr>
          <w:ilvl w:val="0"/>
          <w:numId w:val="15"/>
        </w:numPr>
        <w:rPr>
          <w:rFonts w:cstheme="minorHAnsi"/>
        </w:rPr>
      </w:pPr>
      <w:r w:rsidRPr="00357512">
        <w:rPr>
          <w:rFonts w:cstheme="minorHAnsi"/>
        </w:rPr>
        <w:t>Spousal Coverage – rate remained at 20</w:t>
      </w:r>
      <w:r>
        <w:rPr>
          <w:rFonts w:cstheme="minorHAnsi"/>
        </w:rPr>
        <w:t xml:space="preserve"> percent </w:t>
      </w:r>
      <w:r w:rsidRPr="00357512">
        <w:rPr>
          <w:rFonts w:cstheme="minorHAnsi"/>
        </w:rPr>
        <w:t xml:space="preserve"> </w:t>
      </w:r>
    </w:p>
    <w:p w14:paraId="59E92E99" w14:textId="77777777" w:rsidR="001533A7" w:rsidRPr="005400E4" w:rsidRDefault="001533A7" w:rsidP="001533A7">
      <w:pPr>
        <w:pStyle w:val="ListParagraph"/>
        <w:numPr>
          <w:ilvl w:val="0"/>
          <w:numId w:val="14"/>
        </w:numPr>
        <w:rPr>
          <w:rFonts w:cstheme="minorHAnsi"/>
          <w:sz w:val="20"/>
          <w:szCs w:val="20"/>
        </w:rPr>
      </w:pPr>
      <w:r w:rsidRPr="00B63FE6">
        <w:rPr>
          <w:rFonts w:cstheme="minorHAnsi"/>
        </w:rPr>
        <w:t xml:space="preserve">Retiree Participation </w:t>
      </w:r>
      <w:r>
        <w:rPr>
          <w:rFonts w:cstheme="minorHAnsi"/>
        </w:rPr>
        <w:t>–</w:t>
      </w:r>
      <w:r w:rsidRPr="00B63FE6">
        <w:rPr>
          <w:rFonts w:cstheme="minorHAnsi"/>
        </w:rPr>
        <w:t xml:space="preserve"> </w:t>
      </w:r>
      <w:r>
        <w:rPr>
          <w:rFonts w:cstheme="minorHAnsi"/>
        </w:rPr>
        <w:t>rate remained at 35 percent</w:t>
      </w:r>
      <w:r w:rsidRPr="00B63FE6">
        <w:rPr>
          <w:rFonts w:cstheme="minorHAnsi"/>
        </w:rPr>
        <w:t xml:space="preserve">         </w:t>
      </w:r>
    </w:p>
    <w:p w14:paraId="700077E1" w14:textId="77777777" w:rsidR="004B35D3" w:rsidRPr="006D414D" w:rsidRDefault="004B35D3" w:rsidP="00A84CE9">
      <w:pPr>
        <w:spacing w:after="160" w:line="259" w:lineRule="auto"/>
        <w:rPr>
          <w:rFonts w:cstheme="minorHAnsi"/>
        </w:rPr>
      </w:pPr>
      <w:r>
        <w:rPr>
          <w:rFonts w:cstheme="minorHAnsi"/>
        </w:rPr>
        <w:t xml:space="preserve">Retiree participation was based on a blend of recent experience and the prior year assumptions. </w:t>
      </w:r>
    </w:p>
    <w:p w14:paraId="5D03E00F" w14:textId="48E6388B" w:rsidR="004B35D3" w:rsidRDefault="004B35D3" w:rsidP="00A84CE9">
      <w:pPr>
        <w:rPr>
          <w:rFonts w:cstheme="minorHAnsi"/>
        </w:rPr>
      </w:pPr>
      <w:r w:rsidRPr="00FA5F21">
        <w:rPr>
          <w:rFonts w:cstheme="minorHAnsi"/>
        </w:rPr>
        <w:t>The trend rates w</w:t>
      </w:r>
      <w:r>
        <w:rPr>
          <w:rFonts w:cstheme="minorHAnsi"/>
        </w:rPr>
        <w:t>ere</w:t>
      </w:r>
      <w:r w:rsidRPr="00FA5F21">
        <w:rPr>
          <w:rFonts w:cstheme="minorHAnsi"/>
        </w:rPr>
        <w:t xml:space="preserve"> updated based on economic conditions as of </w:t>
      </w:r>
      <w:r>
        <w:rPr>
          <w:rFonts w:cstheme="minorHAnsi"/>
        </w:rPr>
        <w:t>June 30, 202</w:t>
      </w:r>
      <w:r w:rsidR="006B2E72">
        <w:rPr>
          <w:rFonts w:cstheme="minorHAnsi"/>
        </w:rPr>
        <w:t>4</w:t>
      </w:r>
      <w:r w:rsidRPr="00FA5F21">
        <w:rPr>
          <w:rFonts w:cstheme="minorHAnsi"/>
        </w:rPr>
        <w:t xml:space="preserve">.  Additionally, the discount rate </w:t>
      </w:r>
      <w:r w:rsidRPr="003E6273">
        <w:rPr>
          <w:rFonts w:cstheme="minorHAnsi"/>
        </w:rPr>
        <w:t xml:space="preserve">was increased from </w:t>
      </w:r>
      <w:r>
        <w:rPr>
          <w:rFonts w:cstheme="minorHAnsi"/>
        </w:rPr>
        <w:t>3.</w:t>
      </w:r>
      <w:r w:rsidR="006B2E72">
        <w:rPr>
          <w:rFonts w:cstheme="minorHAnsi"/>
        </w:rPr>
        <w:t>65</w:t>
      </w:r>
      <w:r>
        <w:rPr>
          <w:rFonts w:cstheme="minorHAnsi"/>
        </w:rPr>
        <w:t xml:space="preserve"> </w:t>
      </w:r>
      <w:r w:rsidR="002027AD">
        <w:rPr>
          <w:rFonts w:cstheme="minorHAnsi"/>
        </w:rPr>
        <w:t xml:space="preserve">percent </w:t>
      </w:r>
      <w:r w:rsidR="002027AD" w:rsidRPr="003E6273">
        <w:rPr>
          <w:rFonts w:cstheme="minorHAnsi"/>
        </w:rPr>
        <w:t>to</w:t>
      </w:r>
      <w:r w:rsidRPr="003E6273">
        <w:rPr>
          <w:rFonts w:cstheme="minorHAnsi"/>
        </w:rPr>
        <w:t xml:space="preserve"> 3.</w:t>
      </w:r>
      <w:r w:rsidR="006B2E72">
        <w:rPr>
          <w:rFonts w:cstheme="minorHAnsi"/>
        </w:rPr>
        <w:t>93</w:t>
      </w:r>
      <w:r>
        <w:rPr>
          <w:rFonts w:cstheme="minorHAnsi"/>
        </w:rPr>
        <w:t xml:space="preserve"> percent </w:t>
      </w:r>
      <w:r w:rsidRPr="00FA5F21">
        <w:rPr>
          <w:rFonts w:cstheme="minorHAnsi"/>
        </w:rPr>
        <w:t>based on the Bond Buyers GO 20 Municipal Bond Index</w:t>
      </w:r>
      <w:r>
        <w:rPr>
          <w:rFonts w:cstheme="minorHAnsi"/>
        </w:rPr>
        <w:t xml:space="preserve"> as of June 30, 202</w:t>
      </w:r>
      <w:r w:rsidR="001805D2">
        <w:rPr>
          <w:rFonts w:cstheme="minorHAnsi"/>
        </w:rPr>
        <w:t>4</w:t>
      </w:r>
      <w:r>
        <w:rPr>
          <w:rFonts w:cstheme="minorHAnsi"/>
        </w:rPr>
        <w:t>.</w:t>
      </w:r>
    </w:p>
    <w:p w14:paraId="732138F4" w14:textId="77777777" w:rsidR="003E7C46" w:rsidRDefault="003E7C46" w:rsidP="00A84CE9">
      <w:pPr>
        <w:rPr>
          <w:rFonts w:cstheme="minorHAnsi"/>
        </w:rPr>
      </w:pPr>
    </w:p>
    <w:p w14:paraId="095AAB0C" w14:textId="77777777" w:rsidR="003E7C46" w:rsidRDefault="003E7C46" w:rsidP="00A84CE9">
      <w:pPr>
        <w:rPr>
          <w:rFonts w:cstheme="minorHAnsi"/>
        </w:rPr>
      </w:pPr>
    </w:p>
    <w:p w14:paraId="734FEE32" w14:textId="77777777" w:rsidR="003E7C46" w:rsidRDefault="003E7C46" w:rsidP="00A84CE9">
      <w:pPr>
        <w:rPr>
          <w:rFonts w:cstheme="minorHAnsi"/>
        </w:rPr>
      </w:pPr>
    </w:p>
    <w:p w14:paraId="1A84CE3A" w14:textId="77777777" w:rsidR="003E7C46" w:rsidRDefault="003E7C46" w:rsidP="00A84CE9">
      <w:pPr>
        <w:rPr>
          <w:rFonts w:cstheme="minorHAnsi"/>
        </w:rPr>
      </w:pPr>
    </w:p>
    <w:p w14:paraId="2FB337AE" w14:textId="77777777" w:rsidR="003E7C46" w:rsidRDefault="003E7C46" w:rsidP="00A84CE9">
      <w:pPr>
        <w:rPr>
          <w:rFonts w:cstheme="minorHAnsi"/>
        </w:rPr>
      </w:pPr>
    </w:p>
    <w:p w14:paraId="07A73AF5" w14:textId="77777777" w:rsidR="003E7C46" w:rsidRDefault="003E7C46" w:rsidP="00A84CE9">
      <w:pPr>
        <w:rPr>
          <w:rFonts w:cstheme="minorHAnsi"/>
        </w:rPr>
      </w:pPr>
    </w:p>
    <w:p w14:paraId="0DF922DD" w14:textId="77777777" w:rsidR="003E7C46" w:rsidRDefault="003E7C46" w:rsidP="00A84CE9">
      <w:pPr>
        <w:rPr>
          <w:rFonts w:cstheme="minorHAnsi"/>
        </w:rPr>
      </w:pPr>
    </w:p>
    <w:p w14:paraId="0AB33EBA" w14:textId="313B94B8" w:rsidR="003E7C46" w:rsidRDefault="003E7C46" w:rsidP="00A84CE9">
      <w:pPr>
        <w:rPr>
          <w:rFonts w:cstheme="minorHAnsi"/>
        </w:rPr>
      </w:pPr>
      <w:r>
        <w:rPr>
          <w:rFonts w:cstheme="minorHAnsi"/>
        </w:rPr>
        <w:t>Reviewed:</w:t>
      </w:r>
    </w:p>
    <w:p w14:paraId="05296672" w14:textId="1D410908" w:rsidR="003E7C46" w:rsidRDefault="003E7C46" w:rsidP="00A84CE9">
      <w:pPr>
        <w:rPr>
          <w:rFonts w:cstheme="minorHAnsi"/>
        </w:rPr>
      </w:pPr>
      <w:r>
        <w:rPr>
          <w:rFonts w:cstheme="minorHAnsi"/>
        </w:rPr>
        <w:t>Prepared</w:t>
      </w:r>
      <w:proofErr w:type="gramStart"/>
      <w:r>
        <w:rPr>
          <w:rFonts w:cstheme="minorHAnsi"/>
        </w:rPr>
        <w:t>:  Denise</w:t>
      </w:r>
      <w:proofErr w:type="gramEnd"/>
      <w:r>
        <w:rPr>
          <w:rFonts w:cstheme="minorHAnsi"/>
        </w:rPr>
        <w:t xml:space="preserve"> Sandlin 8-21-25</w:t>
      </w:r>
    </w:p>
    <w:sectPr w:rsidR="003E7C46" w:rsidSect="005A644E">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3335" w14:textId="77777777" w:rsidR="002B661E" w:rsidRDefault="002B661E" w:rsidP="00443C70">
      <w:pPr>
        <w:spacing w:after="0" w:line="240" w:lineRule="auto"/>
      </w:pPr>
      <w:r>
        <w:separator/>
      </w:r>
    </w:p>
  </w:endnote>
  <w:endnote w:type="continuationSeparator" w:id="0">
    <w:p w14:paraId="0EED7381" w14:textId="77777777" w:rsidR="002B661E" w:rsidRDefault="002B661E">
      <w:pPr>
        <w:spacing w:after="0" w:line="240" w:lineRule="auto"/>
      </w:pPr>
    </w:p>
  </w:endnote>
  <w:endnote w:type="continuationNotice" w:id="1">
    <w:p w14:paraId="0CA472DD" w14:textId="77777777" w:rsidR="002B661E" w:rsidRDefault="002B661E" w:rsidP="00443C70">
      <w:pPr>
        <w:spacing w:after="0" w:line="240" w:lineRule="auto"/>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77C8" w14:textId="77777777" w:rsidR="002B661E" w:rsidRDefault="002B661E" w:rsidP="00443C70">
      <w:pPr>
        <w:spacing w:after="0" w:line="240" w:lineRule="auto"/>
      </w:pPr>
      <w:r>
        <w:separator/>
      </w:r>
    </w:p>
  </w:footnote>
  <w:footnote w:type="continuationSeparator" w:id="0">
    <w:p w14:paraId="06616856" w14:textId="77777777" w:rsidR="002B661E" w:rsidRDefault="002B661E">
      <w:pPr>
        <w:spacing w:after="0" w:line="240" w:lineRule="auto"/>
      </w:pPr>
    </w:p>
  </w:footnote>
  <w:footnote w:type="continuationNotice" w:id="1">
    <w:p w14:paraId="45A3F760" w14:textId="77777777" w:rsidR="002B661E" w:rsidRDefault="002B661E" w:rsidP="00443C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D85"/>
    <w:multiLevelType w:val="hybridMultilevel"/>
    <w:tmpl w:val="8D8E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F1C63"/>
    <w:multiLevelType w:val="hybridMultilevel"/>
    <w:tmpl w:val="30B4C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D81154"/>
    <w:multiLevelType w:val="hybridMultilevel"/>
    <w:tmpl w:val="D3C4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451E6"/>
    <w:multiLevelType w:val="hybridMultilevel"/>
    <w:tmpl w:val="A190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531E5"/>
    <w:multiLevelType w:val="hybridMultilevel"/>
    <w:tmpl w:val="D35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37336"/>
    <w:multiLevelType w:val="hybridMultilevel"/>
    <w:tmpl w:val="3F70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635C4"/>
    <w:multiLevelType w:val="hybridMultilevel"/>
    <w:tmpl w:val="DEB8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80988"/>
    <w:multiLevelType w:val="hybridMultilevel"/>
    <w:tmpl w:val="9A0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31F61"/>
    <w:multiLevelType w:val="hybridMultilevel"/>
    <w:tmpl w:val="51E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37FC5"/>
    <w:multiLevelType w:val="hybridMultilevel"/>
    <w:tmpl w:val="FEBE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50787"/>
    <w:multiLevelType w:val="hybridMultilevel"/>
    <w:tmpl w:val="D3E4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A79E1"/>
    <w:multiLevelType w:val="hybridMultilevel"/>
    <w:tmpl w:val="CC2C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01EB7"/>
    <w:multiLevelType w:val="hybridMultilevel"/>
    <w:tmpl w:val="1D54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8048C"/>
    <w:multiLevelType w:val="hybridMultilevel"/>
    <w:tmpl w:val="FEB0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E6DDB"/>
    <w:multiLevelType w:val="hybridMultilevel"/>
    <w:tmpl w:val="6090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879013">
    <w:abstractNumId w:val="10"/>
  </w:num>
  <w:num w:numId="2" w16cid:durableId="1739093842">
    <w:abstractNumId w:val="14"/>
  </w:num>
  <w:num w:numId="3" w16cid:durableId="1620527264">
    <w:abstractNumId w:val="4"/>
  </w:num>
  <w:num w:numId="4" w16cid:durableId="323093853">
    <w:abstractNumId w:val="12"/>
  </w:num>
  <w:num w:numId="5" w16cid:durableId="1456828821">
    <w:abstractNumId w:val="13"/>
  </w:num>
  <w:num w:numId="6" w16cid:durableId="1804152945">
    <w:abstractNumId w:val="1"/>
  </w:num>
  <w:num w:numId="7" w16cid:durableId="891309925">
    <w:abstractNumId w:val="9"/>
  </w:num>
  <w:num w:numId="8" w16cid:durableId="18892367">
    <w:abstractNumId w:val="3"/>
  </w:num>
  <w:num w:numId="9" w16cid:durableId="1195576385">
    <w:abstractNumId w:val="8"/>
  </w:num>
  <w:num w:numId="10" w16cid:durableId="1679885397">
    <w:abstractNumId w:val="0"/>
  </w:num>
  <w:num w:numId="11" w16cid:durableId="579363281">
    <w:abstractNumId w:val="2"/>
  </w:num>
  <w:num w:numId="12" w16cid:durableId="54358354">
    <w:abstractNumId w:val="5"/>
  </w:num>
  <w:num w:numId="13" w16cid:durableId="1846282555">
    <w:abstractNumId w:val="11"/>
  </w:num>
  <w:num w:numId="14" w16cid:durableId="1698583675">
    <w:abstractNumId w:val="6"/>
  </w:num>
  <w:num w:numId="15" w16cid:durableId="1830829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B13"/>
    <w:rsid w:val="000033C6"/>
    <w:rsid w:val="00004B35"/>
    <w:rsid w:val="00007FEA"/>
    <w:rsid w:val="00012357"/>
    <w:rsid w:val="0001287E"/>
    <w:rsid w:val="00020762"/>
    <w:rsid w:val="00023A84"/>
    <w:rsid w:val="00034DBB"/>
    <w:rsid w:val="0004070A"/>
    <w:rsid w:val="0004201C"/>
    <w:rsid w:val="000436F5"/>
    <w:rsid w:val="000447FC"/>
    <w:rsid w:val="00045FFA"/>
    <w:rsid w:val="00050E33"/>
    <w:rsid w:val="00051A9D"/>
    <w:rsid w:val="00052763"/>
    <w:rsid w:val="00055FE0"/>
    <w:rsid w:val="00065531"/>
    <w:rsid w:val="00081DAA"/>
    <w:rsid w:val="00083959"/>
    <w:rsid w:val="00087383"/>
    <w:rsid w:val="00096FB0"/>
    <w:rsid w:val="00097CD0"/>
    <w:rsid w:val="000A10B5"/>
    <w:rsid w:val="000A4F2F"/>
    <w:rsid w:val="000B1D4D"/>
    <w:rsid w:val="000D158D"/>
    <w:rsid w:val="000D1B62"/>
    <w:rsid w:val="000D3D24"/>
    <w:rsid w:val="000D4DEC"/>
    <w:rsid w:val="000E0A83"/>
    <w:rsid w:val="000E5077"/>
    <w:rsid w:val="000E650E"/>
    <w:rsid w:val="000F5394"/>
    <w:rsid w:val="000F7D29"/>
    <w:rsid w:val="00100871"/>
    <w:rsid w:val="00105983"/>
    <w:rsid w:val="001069F6"/>
    <w:rsid w:val="0010712B"/>
    <w:rsid w:val="00112E79"/>
    <w:rsid w:val="0011571B"/>
    <w:rsid w:val="001160DD"/>
    <w:rsid w:val="00120B8D"/>
    <w:rsid w:val="00120F8F"/>
    <w:rsid w:val="00124B96"/>
    <w:rsid w:val="001373F8"/>
    <w:rsid w:val="00147BC9"/>
    <w:rsid w:val="0015235E"/>
    <w:rsid w:val="001533A7"/>
    <w:rsid w:val="0015387C"/>
    <w:rsid w:val="00157694"/>
    <w:rsid w:val="00157FB1"/>
    <w:rsid w:val="00160DB1"/>
    <w:rsid w:val="0016132B"/>
    <w:rsid w:val="0016168A"/>
    <w:rsid w:val="001674A3"/>
    <w:rsid w:val="00172041"/>
    <w:rsid w:val="00175226"/>
    <w:rsid w:val="001758FB"/>
    <w:rsid w:val="00176DD2"/>
    <w:rsid w:val="001805D2"/>
    <w:rsid w:val="00181C2F"/>
    <w:rsid w:val="00185EAB"/>
    <w:rsid w:val="00187653"/>
    <w:rsid w:val="001A03EE"/>
    <w:rsid w:val="001A65DE"/>
    <w:rsid w:val="001B15CF"/>
    <w:rsid w:val="001B6AF6"/>
    <w:rsid w:val="001C2BE4"/>
    <w:rsid w:val="001C37A1"/>
    <w:rsid w:val="001C74AF"/>
    <w:rsid w:val="001C77F5"/>
    <w:rsid w:val="001D41BC"/>
    <w:rsid w:val="001D4523"/>
    <w:rsid w:val="001E12B6"/>
    <w:rsid w:val="001E6E4F"/>
    <w:rsid w:val="001E7A7B"/>
    <w:rsid w:val="001F0CD3"/>
    <w:rsid w:val="001F1A52"/>
    <w:rsid w:val="002027AD"/>
    <w:rsid w:val="00206BD1"/>
    <w:rsid w:val="00207397"/>
    <w:rsid w:val="002129D9"/>
    <w:rsid w:val="00212EDC"/>
    <w:rsid w:val="00215263"/>
    <w:rsid w:val="0021620D"/>
    <w:rsid w:val="00222492"/>
    <w:rsid w:val="002230B2"/>
    <w:rsid w:val="00225052"/>
    <w:rsid w:val="00227504"/>
    <w:rsid w:val="0023635C"/>
    <w:rsid w:val="00242100"/>
    <w:rsid w:val="00242A9A"/>
    <w:rsid w:val="00244B6A"/>
    <w:rsid w:val="00245E1B"/>
    <w:rsid w:val="002479FD"/>
    <w:rsid w:val="00251482"/>
    <w:rsid w:val="00253D44"/>
    <w:rsid w:val="00253EAD"/>
    <w:rsid w:val="00255A77"/>
    <w:rsid w:val="00262416"/>
    <w:rsid w:val="002825DD"/>
    <w:rsid w:val="002832AA"/>
    <w:rsid w:val="0028366E"/>
    <w:rsid w:val="00284A4D"/>
    <w:rsid w:val="0029146F"/>
    <w:rsid w:val="00293900"/>
    <w:rsid w:val="002943A9"/>
    <w:rsid w:val="00295242"/>
    <w:rsid w:val="00295B55"/>
    <w:rsid w:val="0029677D"/>
    <w:rsid w:val="002A45CB"/>
    <w:rsid w:val="002A715B"/>
    <w:rsid w:val="002B6150"/>
    <w:rsid w:val="002B661E"/>
    <w:rsid w:val="002C091D"/>
    <w:rsid w:val="002C49DB"/>
    <w:rsid w:val="002C4DC8"/>
    <w:rsid w:val="002C5EA2"/>
    <w:rsid w:val="002C5F95"/>
    <w:rsid w:val="002D163F"/>
    <w:rsid w:val="002D5C0A"/>
    <w:rsid w:val="002E06B9"/>
    <w:rsid w:val="002E1817"/>
    <w:rsid w:val="002E3370"/>
    <w:rsid w:val="002F2F35"/>
    <w:rsid w:val="002F796E"/>
    <w:rsid w:val="00301CB6"/>
    <w:rsid w:val="00304864"/>
    <w:rsid w:val="00306456"/>
    <w:rsid w:val="00314A64"/>
    <w:rsid w:val="0032145F"/>
    <w:rsid w:val="0032483D"/>
    <w:rsid w:val="0032748C"/>
    <w:rsid w:val="003276D8"/>
    <w:rsid w:val="00331705"/>
    <w:rsid w:val="003317CB"/>
    <w:rsid w:val="00331C78"/>
    <w:rsid w:val="00334FF9"/>
    <w:rsid w:val="003409D1"/>
    <w:rsid w:val="00341B4A"/>
    <w:rsid w:val="00341B77"/>
    <w:rsid w:val="00342492"/>
    <w:rsid w:val="003446CD"/>
    <w:rsid w:val="003508FB"/>
    <w:rsid w:val="00354B70"/>
    <w:rsid w:val="00363F69"/>
    <w:rsid w:val="00366B55"/>
    <w:rsid w:val="00370AC9"/>
    <w:rsid w:val="00372D0B"/>
    <w:rsid w:val="00374E70"/>
    <w:rsid w:val="003811CA"/>
    <w:rsid w:val="00381546"/>
    <w:rsid w:val="00382080"/>
    <w:rsid w:val="003831F8"/>
    <w:rsid w:val="00383841"/>
    <w:rsid w:val="003A0F95"/>
    <w:rsid w:val="003A3C19"/>
    <w:rsid w:val="003A5A6C"/>
    <w:rsid w:val="003A7668"/>
    <w:rsid w:val="003B0190"/>
    <w:rsid w:val="003C55BA"/>
    <w:rsid w:val="003E6273"/>
    <w:rsid w:val="003E64A7"/>
    <w:rsid w:val="003E7C46"/>
    <w:rsid w:val="003F2D3B"/>
    <w:rsid w:val="003F56C3"/>
    <w:rsid w:val="003F5F10"/>
    <w:rsid w:val="003F7D3F"/>
    <w:rsid w:val="004001D4"/>
    <w:rsid w:val="00400276"/>
    <w:rsid w:val="00404842"/>
    <w:rsid w:val="004067DD"/>
    <w:rsid w:val="004118FD"/>
    <w:rsid w:val="00411C47"/>
    <w:rsid w:val="00414E10"/>
    <w:rsid w:val="00415959"/>
    <w:rsid w:val="0042421B"/>
    <w:rsid w:val="00433506"/>
    <w:rsid w:val="0043479B"/>
    <w:rsid w:val="00434D5A"/>
    <w:rsid w:val="004362AB"/>
    <w:rsid w:val="00437E49"/>
    <w:rsid w:val="00443C70"/>
    <w:rsid w:val="00456043"/>
    <w:rsid w:val="00456352"/>
    <w:rsid w:val="00457777"/>
    <w:rsid w:val="00467768"/>
    <w:rsid w:val="00472E7C"/>
    <w:rsid w:val="004813B6"/>
    <w:rsid w:val="0048187B"/>
    <w:rsid w:val="0048265F"/>
    <w:rsid w:val="00486C98"/>
    <w:rsid w:val="00487D9F"/>
    <w:rsid w:val="00490466"/>
    <w:rsid w:val="0049116A"/>
    <w:rsid w:val="0049345C"/>
    <w:rsid w:val="004943A9"/>
    <w:rsid w:val="004A1B10"/>
    <w:rsid w:val="004A22A4"/>
    <w:rsid w:val="004A4343"/>
    <w:rsid w:val="004A7AE9"/>
    <w:rsid w:val="004B35D3"/>
    <w:rsid w:val="004B718D"/>
    <w:rsid w:val="004C008B"/>
    <w:rsid w:val="004C6E0A"/>
    <w:rsid w:val="004D11A2"/>
    <w:rsid w:val="004D2DCE"/>
    <w:rsid w:val="004D3484"/>
    <w:rsid w:val="004D4FFF"/>
    <w:rsid w:val="004D5E0D"/>
    <w:rsid w:val="004E0AFA"/>
    <w:rsid w:val="004E1EEA"/>
    <w:rsid w:val="004E2BED"/>
    <w:rsid w:val="004F20DF"/>
    <w:rsid w:val="00500D04"/>
    <w:rsid w:val="005013D6"/>
    <w:rsid w:val="0050264F"/>
    <w:rsid w:val="005154F7"/>
    <w:rsid w:val="0051643C"/>
    <w:rsid w:val="0052015F"/>
    <w:rsid w:val="00531E9B"/>
    <w:rsid w:val="005320B1"/>
    <w:rsid w:val="00532E42"/>
    <w:rsid w:val="00535B4D"/>
    <w:rsid w:val="0053721D"/>
    <w:rsid w:val="00540C2E"/>
    <w:rsid w:val="0054296F"/>
    <w:rsid w:val="00542A33"/>
    <w:rsid w:val="0055070A"/>
    <w:rsid w:val="00550747"/>
    <w:rsid w:val="0055155D"/>
    <w:rsid w:val="0056227A"/>
    <w:rsid w:val="00564084"/>
    <w:rsid w:val="005733DF"/>
    <w:rsid w:val="005747EE"/>
    <w:rsid w:val="005858A8"/>
    <w:rsid w:val="005875BF"/>
    <w:rsid w:val="00593F96"/>
    <w:rsid w:val="005944EE"/>
    <w:rsid w:val="005959B1"/>
    <w:rsid w:val="0059756C"/>
    <w:rsid w:val="005A644E"/>
    <w:rsid w:val="005B34D1"/>
    <w:rsid w:val="005B4786"/>
    <w:rsid w:val="005C11E2"/>
    <w:rsid w:val="005C135F"/>
    <w:rsid w:val="005C2C6A"/>
    <w:rsid w:val="005C338E"/>
    <w:rsid w:val="005C517E"/>
    <w:rsid w:val="005C7D01"/>
    <w:rsid w:val="005D0D38"/>
    <w:rsid w:val="005D6436"/>
    <w:rsid w:val="005E021B"/>
    <w:rsid w:val="005E2ECD"/>
    <w:rsid w:val="005F07E9"/>
    <w:rsid w:val="005F36EE"/>
    <w:rsid w:val="005F43D1"/>
    <w:rsid w:val="005F4F08"/>
    <w:rsid w:val="0060124A"/>
    <w:rsid w:val="00601D5F"/>
    <w:rsid w:val="00613B82"/>
    <w:rsid w:val="00617053"/>
    <w:rsid w:val="006315C4"/>
    <w:rsid w:val="0063527F"/>
    <w:rsid w:val="00641B7B"/>
    <w:rsid w:val="006433E3"/>
    <w:rsid w:val="00643E40"/>
    <w:rsid w:val="00651FC0"/>
    <w:rsid w:val="006541D8"/>
    <w:rsid w:val="00654FB6"/>
    <w:rsid w:val="006555D0"/>
    <w:rsid w:val="00660853"/>
    <w:rsid w:val="00660935"/>
    <w:rsid w:val="006621E3"/>
    <w:rsid w:val="006630AB"/>
    <w:rsid w:val="00663677"/>
    <w:rsid w:val="006636AD"/>
    <w:rsid w:val="006656C3"/>
    <w:rsid w:val="00665940"/>
    <w:rsid w:val="00666F0F"/>
    <w:rsid w:val="00667C7C"/>
    <w:rsid w:val="00671338"/>
    <w:rsid w:val="0067326B"/>
    <w:rsid w:val="00681294"/>
    <w:rsid w:val="00685423"/>
    <w:rsid w:val="006B2E72"/>
    <w:rsid w:val="006B32C5"/>
    <w:rsid w:val="006B6606"/>
    <w:rsid w:val="006C4C93"/>
    <w:rsid w:val="006C7EEB"/>
    <w:rsid w:val="006D0533"/>
    <w:rsid w:val="006D0A08"/>
    <w:rsid w:val="006D2AE0"/>
    <w:rsid w:val="006D414D"/>
    <w:rsid w:val="006E3162"/>
    <w:rsid w:val="006E5CC3"/>
    <w:rsid w:val="006E6238"/>
    <w:rsid w:val="006E77A7"/>
    <w:rsid w:val="006F1C7C"/>
    <w:rsid w:val="006F2B9D"/>
    <w:rsid w:val="006F5738"/>
    <w:rsid w:val="0070262C"/>
    <w:rsid w:val="00717B95"/>
    <w:rsid w:val="0072219D"/>
    <w:rsid w:val="00734762"/>
    <w:rsid w:val="007370EA"/>
    <w:rsid w:val="0074158D"/>
    <w:rsid w:val="00741A71"/>
    <w:rsid w:val="00747897"/>
    <w:rsid w:val="00752637"/>
    <w:rsid w:val="00753369"/>
    <w:rsid w:val="00755D27"/>
    <w:rsid w:val="0076099A"/>
    <w:rsid w:val="00762AE4"/>
    <w:rsid w:val="00765BF7"/>
    <w:rsid w:val="0077437A"/>
    <w:rsid w:val="0077499E"/>
    <w:rsid w:val="007749D5"/>
    <w:rsid w:val="007801C2"/>
    <w:rsid w:val="00790B00"/>
    <w:rsid w:val="00796B6E"/>
    <w:rsid w:val="007A2A56"/>
    <w:rsid w:val="007A7C03"/>
    <w:rsid w:val="007B20F4"/>
    <w:rsid w:val="007C48ED"/>
    <w:rsid w:val="007D07CA"/>
    <w:rsid w:val="007D0F1C"/>
    <w:rsid w:val="007D0FB4"/>
    <w:rsid w:val="007D1A02"/>
    <w:rsid w:val="007D562C"/>
    <w:rsid w:val="007D62D6"/>
    <w:rsid w:val="007E212F"/>
    <w:rsid w:val="007F0031"/>
    <w:rsid w:val="007F1813"/>
    <w:rsid w:val="008025CD"/>
    <w:rsid w:val="00810B71"/>
    <w:rsid w:val="00814BDB"/>
    <w:rsid w:val="00816011"/>
    <w:rsid w:val="00817D5C"/>
    <w:rsid w:val="00825AD8"/>
    <w:rsid w:val="00826005"/>
    <w:rsid w:val="0082736C"/>
    <w:rsid w:val="00833F4E"/>
    <w:rsid w:val="0083608B"/>
    <w:rsid w:val="00841932"/>
    <w:rsid w:val="0084521A"/>
    <w:rsid w:val="008500DF"/>
    <w:rsid w:val="00850B60"/>
    <w:rsid w:val="00851D33"/>
    <w:rsid w:val="008622C0"/>
    <w:rsid w:val="00866A36"/>
    <w:rsid w:val="0086700C"/>
    <w:rsid w:val="00867343"/>
    <w:rsid w:val="00873269"/>
    <w:rsid w:val="00877E39"/>
    <w:rsid w:val="00880660"/>
    <w:rsid w:val="00880EEF"/>
    <w:rsid w:val="00892F55"/>
    <w:rsid w:val="00895AB6"/>
    <w:rsid w:val="008A0568"/>
    <w:rsid w:val="008A7AA0"/>
    <w:rsid w:val="008B45FD"/>
    <w:rsid w:val="008C174F"/>
    <w:rsid w:val="008C41D5"/>
    <w:rsid w:val="008D0082"/>
    <w:rsid w:val="008D35A2"/>
    <w:rsid w:val="008D4849"/>
    <w:rsid w:val="008D686C"/>
    <w:rsid w:val="0092214C"/>
    <w:rsid w:val="00927772"/>
    <w:rsid w:val="0093095F"/>
    <w:rsid w:val="00934523"/>
    <w:rsid w:val="00936F9C"/>
    <w:rsid w:val="009400A1"/>
    <w:rsid w:val="009411DE"/>
    <w:rsid w:val="00941F35"/>
    <w:rsid w:val="00942158"/>
    <w:rsid w:val="00945993"/>
    <w:rsid w:val="00945F49"/>
    <w:rsid w:val="0094797A"/>
    <w:rsid w:val="00951D5E"/>
    <w:rsid w:val="00952A2D"/>
    <w:rsid w:val="009569EC"/>
    <w:rsid w:val="00961873"/>
    <w:rsid w:val="00965BDA"/>
    <w:rsid w:val="00967BD7"/>
    <w:rsid w:val="009766D2"/>
    <w:rsid w:val="00976A00"/>
    <w:rsid w:val="00980959"/>
    <w:rsid w:val="00981D3D"/>
    <w:rsid w:val="00981E36"/>
    <w:rsid w:val="009862AC"/>
    <w:rsid w:val="0099352E"/>
    <w:rsid w:val="00994EE3"/>
    <w:rsid w:val="0099562E"/>
    <w:rsid w:val="00996ED3"/>
    <w:rsid w:val="00997F0E"/>
    <w:rsid w:val="009A2149"/>
    <w:rsid w:val="009A38A1"/>
    <w:rsid w:val="009A5378"/>
    <w:rsid w:val="009A565C"/>
    <w:rsid w:val="009A7A2E"/>
    <w:rsid w:val="009B24CB"/>
    <w:rsid w:val="009C595F"/>
    <w:rsid w:val="009C6AFB"/>
    <w:rsid w:val="009D0FE7"/>
    <w:rsid w:val="009D2C07"/>
    <w:rsid w:val="009D6921"/>
    <w:rsid w:val="009E2FA3"/>
    <w:rsid w:val="009E3C9B"/>
    <w:rsid w:val="009E61B4"/>
    <w:rsid w:val="009E7F2E"/>
    <w:rsid w:val="009F06D9"/>
    <w:rsid w:val="009F28A9"/>
    <w:rsid w:val="009F368B"/>
    <w:rsid w:val="009F42A1"/>
    <w:rsid w:val="009F7C84"/>
    <w:rsid w:val="00A052AE"/>
    <w:rsid w:val="00A157AF"/>
    <w:rsid w:val="00A17DCE"/>
    <w:rsid w:val="00A3475E"/>
    <w:rsid w:val="00A34922"/>
    <w:rsid w:val="00A51350"/>
    <w:rsid w:val="00A5303B"/>
    <w:rsid w:val="00A5538F"/>
    <w:rsid w:val="00A56F93"/>
    <w:rsid w:val="00A5793F"/>
    <w:rsid w:val="00A66B2B"/>
    <w:rsid w:val="00A66CC3"/>
    <w:rsid w:val="00A71284"/>
    <w:rsid w:val="00A75054"/>
    <w:rsid w:val="00A84CE9"/>
    <w:rsid w:val="00A85B48"/>
    <w:rsid w:val="00A85B7B"/>
    <w:rsid w:val="00A8746E"/>
    <w:rsid w:val="00A92C6A"/>
    <w:rsid w:val="00AA367B"/>
    <w:rsid w:val="00AA6145"/>
    <w:rsid w:val="00AB1D0A"/>
    <w:rsid w:val="00AB6984"/>
    <w:rsid w:val="00AC2C43"/>
    <w:rsid w:val="00AC3962"/>
    <w:rsid w:val="00AC4083"/>
    <w:rsid w:val="00AC51EF"/>
    <w:rsid w:val="00AC7DC0"/>
    <w:rsid w:val="00AD529E"/>
    <w:rsid w:val="00AE0FC9"/>
    <w:rsid w:val="00AE6CD4"/>
    <w:rsid w:val="00AF048F"/>
    <w:rsid w:val="00AF55F8"/>
    <w:rsid w:val="00B026B4"/>
    <w:rsid w:val="00B02762"/>
    <w:rsid w:val="00B11B13"/>
    <w:rsid w:val="00B15C62"/>
    <w:rsid w:val="00B16364"/>
    <w:rsid w:val="00B16DC2"/>
    <w:rsid w:val="00B27F12"/>
    <w:rsid w:val="00B335BF"/>
    <w:rsid w:val="00B458B5"/>
    <w:rsid w:val="00B46C43"/>
    <w:rsid w:val="00B47A84"/>
    <w:rsid w:val="00B5589B"/>
    <w:rsid w:val="00B577FC"/>
    <w:rsid w:val="00B60D35"/>
    <w:rsid w:val="00B61404"/>
    <w:rsid w:val="00B616A9"/>
    <w:rsid w:val="00B62A6D"/>
    <w:rsid w:val="00B62DD5"/>
    <w:rsid w:val="00B63007"/>
    <w:rsid w:val="00B67408"/>
    <w:rsid w:val="00B71ADD"/>
    <w:rsid w:val="00B71C24"/>
    <w:rsid w:val="00B71DD4"/>
    <w:rsid w:val="00B85D5B"/>
    <w:rsid w:val="00B86E9B"/>
    <w:rsid w:val="00B87B51"/>
    <w:rsid w:val="00B91908"/>
    <w:rsid w:val="00B934FC"/>
    <w:rsid w:val="00B93616"/>
    <w:rsid w:val="00B93F94"/>
    <w:rsid w:val="00B95A14"/>
    <w:rsid w:val="00BA07A1"/>
    <w:rsid w:val="00BA363D"/>
    <w:rsid w:val="00BA40F1"/>
    <w:rsid w:val="00BB1871"/>
    <w:rsid w:val="00BB3A14"/>
    <w:rsid w:val="00BB3E2D"/>
    <w:rsid w:val="00BB4307"/>
    <w:rsid w:val="00BB5E59"/>
    <w:rsid w:val="00BC2B6C"/>
    <w:rsid w:val="00BC3BB0"/>
    <w:rsid w:val="00BC5FC9"/>
    <w:rsid w:val="00BC7551"/>
    <w:rsid w:val="00BD1978"/>
    <w:rsid w:val="00BD355F"/>
    <w:rsid w:val="00BD474D"/>
    <w:rsid w:val="00BE1B16"/>
    <w:rsid w:val="00BE3BF0"/>
    <w:rsid w:val="00BF02EB"/>
    <w:rsid w:val="00C02DE4"/>
    <w:rsid w:val="00C0348F"/>
    <w:rsid w:val="00C132A0"/>
    <w:rsid w:val="00C13DC7"/>
    <w:rsid w:val="00C20F42"/>
    <w:rsid w:val="00C220FC"/>
    <w:rsid w:val="00C2221D"/>
    <w:rsid w:val="00C224F7"/>
    <w:rsid w:val="00C3101C"/>
    <w:rsid w:val="00C32133"/>
    <w:rsid w:val="00C427ED"/>
    <w:rsid w:val="00C64B7E"/>
    <w:rsid w:val="00C64D3F"/>
    <w:rsid w:val="00C65CED"/>
    <w:rsid w:val="00C65F1E"/>
    <w:rsid w:val="00C72AD6"/>
    <w:rsid w:val="00C7411A"/>
    <w:rsid w:val="00C81B04"/>
    <w:rsid w:val="00C82439"/>
    <w:rsid w:val="00C868E1"/>
    <w:rsid w:val="00C9151D"/>
    <w:rsid w:val="00C92EEF"/>
    <w:rsid w:val="00C93BB9"/>
    <w:rsid w:val="00C9517C"/>
    <w:rsid w:val="00CA0563"/>
    <w:rsid w:val="00CA3859"/>
    <w:rsid w:val="00CA4ACD"/>
    <w:rsid w:val="00CA775D"/>
    <w:rsid w:val="00CB0A55"/>
    <w:rsid w:val="00CB3AE0"/>
    <w:rsid w:val="00CC19FA"/>
    <w:rsid w:val="00CD6A63"/>
    <w:rsid w:val="00CF1ADA"/>
    <w:rsid w:val="00CF40DC"/>
    <w:rsid w:val="00D00E79"/>
    <w:rsid w:val="00D03118"/>
    <w:rsid w:val="00D03BA4"/>
    <w:rsid w:val="00D10F97"/>
    <w:rsid w:val="00D115E4"/>
    <w:rsid w:val="00D13890"/>
    <w:rsid w:val="00D15959"/>
    <w:rsid w:val="00D16E5A"/>
    <w:rsid w:val="00D17F9C"/>
    <w:rsid w:val="00D20C3E"/>
    <w:rsid w:val="00D22F7A"/>
    <w:rsid w:val="00D40931"/>
    <w:rsid w:val="00D44396"/>
    <w:rsid w:val="00D45299"/>
    <w:rsid w:val="00D501B0"/>
    <w:rsid w:val="00D52FED"/>
    <w:rsid w:val="00D5395F"/>
    <w:rsid w:val="00D54B5A"/>
    <w:rsid w:val="00D55989"/>
    <w:rsid w:val="00D57504"/>
    <w:rsid w:val="00D6177F"/>
    <w:rsid w:val="00D72DD1"/>
    <w:rsid w:val="00D76A3A"/>
    <w:rsid w:val="00D80837"/>
    <w:rsid w:val="00D85BA7"/>
    <w:rsid w:val="00D8698C"/>
    <w:rsid w:val="00D87E5F"/>
    <w:rsid w:val="00DA04B2"/>
    <w:rsid w:val="00DA11A9"/>
    <w:rsid w:val="00DB10AF"/>
    <w:rsid w:val="00DC2A41"/>
    <w:rsid w:val="00DC6D79"/>
    <w:rsid w:val="00DC758D"/>
    <w:rsid w:val="00DC773E"/>
    <w:rsid w:val="00DD31A1"/>
    <w:rsid w:val="00DD3D76"/>
    <w:rsid w:val="00DD5366"/>
    <w:rsid w:val="00DD6E35"/>
    <w:rsid w:val="00DD738C"/>
    <w:rsid w:val="00DE09B8"/>
    <w:rsid w:val="00DF7EA9"/>
    <w:rsid w:val="00E06151"/>
    <w:rsid w:val="00E10076"/>
    <w:rsid w:val="00E1109B"/>
    <w:rsid w:val="00E1500C"/>
    <w:rsid w:val="00E27E1A"/>
    <w:rsid w:val="00E3317B"/>
    <w:rsid w:val="00E373A1"/>
    <w:rsid w:val="00E43E62"/>
    <w:rsid w:val="00E47AE5"/>
    <w:rsid w:val="00E51736"/>
    <w:rsid w:val="00E536E3"/>
    <w:rsid w:val="00E62DE6"/>
    <w:rsid w:val="00E63605"/>
    <w:rsid w:val="00E63ACD"/>
    <w:rsid w:val="00E72D41"/>
    <w:rsid w:val="00E759F8"/>
    <w:rsid w:val="00E76CB6"/>
    <w:rsid w:val="00E80CC3"/>
    <w:rsid w:val="00E951AA"/>
    <w:rsid w:val="00E97CC0"/>
    <w:rsid w:val="00EA05D1"/>
    <w:rsid w:val="00EA3883"/>
    <w:rsid w:val="00EA6165"/>
    <w:rsid w:val="00EA7BE1"/>
    <w:rsid w:val="00EB2223"/>
    <w:rsid w:val="00EB4062"/>
    <w:rsid w:val="00EC48B7"/>
    <w:rsid w:val="00EC4B3F"/>
    <w:rsid w:val="00EE4F62"/>
    <w:rsid w:val="00EE567C"/>
    <w:rsid w:val="00EF1B3E"/>
    <w:rsid w:val="00EF5EE4"/>
    <w:rsid w:val="00EF6A9F"/>
    <w:rsid w:val="00F0144B"/>
    <w:rsid w:val="00F02BA2"/>
    <w:rsid w:val="00F04ABC"/>
    <w:rsid w:val="00F063E8"/>
    <w:rsid w:val="00F10E49"/>
    <w:rsid w:val="00F149D6"/>
    <w:rsid w:val="00F201CC"/>
    <w:rsid w:val="00F20ECE"/>
    <w:rsid w:val="00F22867"/>
    <w:rsid w:val="00F25D3B"/>
    <w:rsid w:val="00F25D6F"/>
    <w:rsid w:val="00F32739"/>
    <w:rsid w:val="00F3352B"/>
    <w:rsid w:val="00F377F0"/>
    <w:rsid w:val="00F42909"/>
    <w:rsid w:val="00F4649C"/>
    <w:rsid w:val="00F51514"/>
    <w:rsid w:val="00F55550"/>
    <w:rsid w:val="00F64B15"/>
    <w:rsid w:val="00F76465"/>
    <w:rsid w:val="00F806CE"/>
    <w:rsid w:val="00F83C95"/>
    <w:rsid w:val="00F83ED4"/>
    <w:rsid w:val="00F86FC8"/>
    <w:rsid w:val="00F9095F"/>
    <w:rsid w:val="00FA5F21"/>
    <w:rsid w:val="00FA78DC"/>
    <w:rsid w:val="00FB00D2"/>
    <w:rsid w:val="00FB3145"/>
    <w:rsid w:val="00FD1032"/>
    <w:rsid w:val="00FD162E"/>
    <w:rsid w:val="00FD1747"/>
    <w:rsid w:val="00FD5193"/>
    <w:rsid w:val="00FE02CA"/>
    <w:rsid w:val="00FE41ED"/>
    <w:rsid w:val="00FE4A83"/>
    <w:rsid w:val="00FE71B8"/>
    <w:rsid w:val="00FF477A"/>
    <w:rsid w:val="00FF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80B8"/>
  <w15:docId w15:val="{222E554C-21F4-443B-9EDA-DDC314D3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AonBodyCopy"/>
    <w:next w:val="AonBodyCopy"/>
    <w:link w:val="Heading3Char"/>
    <w:qFormat/>
    <w:rsid w:val="00443C70"/>
    <w:pPr>
      <w:spacing w:before="240" w:after="120"/>
      <w:outlineLvl w:val="2"/>
    </w:pPr>
    <w:rPr>
      <w:sz w:val="28"/>
    </w:rPr>
  </w:style>
  <w:style w:type="paragraph" w:styleId="Heading4">
    <w:name w:val="heading 4"/>
    <w:basedOn w:val="Normal"/>
    <w:next w:val="Normal"/>
    <w:link w:val="Heading4Char"/>
    <w:uiPriority w:val="9"/>
    <w:semiHidden/>
    <w:unhideWhenUsed/>
    <w:qFormat/>
    <w:rsid w:val="00443C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BF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35B4D"/>
    <w:rPr>
      <w:sz w:val="16"/>
      <w:szCs w:val="16"/>
    </w:rPr>
  </w:style>
  <w:style w:type="paragraph" w:styleId="CommentText">
    <w:name w:val="annotation text"/>
    <w:basedOn w:val="Normal"/>
    <w:link w:val="CommentTextChar"/>
    <w:uiPriority w:val="99"/>
    <w:unhideWhenUsed/>
    <w:rsid w:val="00535B4D"/>
    <w:pPr>
      <w:spacing w:line="240" w:lineRule="auto"/>
    </w:pPr>
    <w:rPr>
      <w:sz w:val="20"/>
      <w:szCs w:val="20"/>
    </w:rPr>
  </w:style>
  <w:style w:type="character" w:customStyle="1" w:styleId="CommentTextChar">
    <w:name w:val="Comment Text Char"/>
    <w:basedOn w:val="DefaultParagraphFont"/>
    <w:link w:val="CommentText"/>
    <w:uiPriority w:val="99"/>
    <w:rsid w:val="00535B4D"/>
    <w:rPr>
      <w:sz w:val="20"/>
      <w:szCs w:val="20"/>
    </w:rPr>
  </w:style>
  <w:style w:type="paragraph" w:styleId="CommentSubject">
    <w:name w:val="annotation subject"/>
    <w:basedOn w:val="CommentText"/>
    <w:next w:val="CommentText"/>
    <w:link w:val="CommentSubjectChar"/>
    <w:uiPriority w:val="99"/>
    <w:semiHidden/>
    <w:unhideWhenUsed/>
    <w:rsid w:val="00535B4D"/>
    <w:rPr>
      <w:b/>
      <w:bCs/>
    </w:rPr>
  </w:style>
  <w:style w:type="character" w:customStyle="1" w:styleId="CommentSubjectChar">
    <w:name w:val="Comment Subject Char"/>
    <w:basedOn w:val="CommentTextChar"/>
    <w:link w:val="CommentSubject"/>
    <w:uiPriority w:val="99"/>
    <w:semiHidden/>
    <w:rsid w:val="00535B4D"/>
    <w:rPr>
      <w:b/>
      <w:bCs/>
      <w:sz w:val="20"/>
      <w:szCs w:val="20"/>
    </w:rPr>
  </w:style>
  <w:style w:type="paragraph" w:styleId="BalloonText">
    <w:name w:val="Balloon Text"/>
    <w:basedOn w:val="Normal"/>
    <w:link w:val="BalloonTextChar"/>
    <w:uiPriority w:val="99"/>
    <w:semiHidden/>
    <w:unhideWhenUsed/>
    <w:rsid w:val="0053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B4D"/>
    <w:rPr>
      <w:rFonts w:ascii="Tahoma" w:hAnsi="Tahoma" w:cs="Tahoma"/>
      <w:sz w:val="16"/>
      <w:szCs w:val="16"/>
    </w:rPr>
  </w:style>
  <w:style w:type="character" w:customStyle="1" w:styleId="Heading3Char">
    <w:name w:val="Heading 3 Char"/>
    <w:basedOn w:val="DefaultParagraphFont"/>
    <w:link w:val="Heading3"/>
    <w:rsid w:val="00443C70"/>
    <w:rPr>
      <w:rFonts w:ascii="Arial" w:eastAsia="MS Mincho" w:hAnsi="Arial" w:cs="Times New Roman"/>
      <w:sz w:val="28"/>
      <w:szCs w:val="20"/>
    </w:rPr>
  </w:style>
  <w:style w:type="paragraph" w:customStyle="1" w:styleId="AonBodyCopy">
    <w:name w:val="Aon Body Copy"/>
    <w:basedOn w:val="Normal"/>
    <w:link w:val="AonBodyCopyChar"/>
    <w:rsid w:val="00443C70"/>
    <w:pPr>
      <w:spacing w:after="240" w:line="264" w:lineRule="auto"/>
    </w:pPr>
    <w:rPr>
      <w:rFonts w:ascii="Arial" w:eastAsia="MS Mincho" w:hAnsi="Arial" w:cs="Times New Roman"/>
      <w:sz w:val="20"/>
      <w:szCs w:val="20"/>
    </w:rPr>
  </w:style>
  <w:style w:type="character" w:customStyle="1" w:styleId="AonBodyCopyChar">
    <w:name w:val="Aon Body Copy Char"/>
    <w:link w:val="AonBodyCopy"/>
    <w:rsid w:val="00443C70"/>
    <w:rPr>
      <w:rFonts w:ascii="Arial" w:eastAsia="MS Mincho" w:hAnsi="Arial" w:cs="Times New Roman"/>
      <w:sz w:val="20"/>
      <w:szCs w:val="20"/>
    </w:rPr>
  </w:style>
  <w:style w:type="paragraph" w:customStyle="1" w:styleId="Tablecopy">
    <w:name w:val="Tablecopy"/>
    <w:basedOn w:val="Normal"/>
    <w:rsid w:val="00443C70"/>
    <w:pPr>
      <w:spacing w:before="40" w:after="0" w:line="200" w:lineRule="atLeast"/>
    </w:pPr>
    <w:rPr>
      <w:rFonts w:ascii="Arial" w:eastAsia="MS Mincho" w:hAnsi="Arial" w:cs="Arial"/>
      <w:sz w:val="20"/>
      <w:szCs w:val="20"/>
    </w:rPr>
  </w:style>
  <w:style w:type="paragraph" w:customStyle="1" w:styleId="TableColumnHead">
    <w:name w:val="TableColumnHead"/>
    <w:basedOn w:val="Normal"/>
    <w:rsid w:val="00443C70"/>
    <w:pPr>
      <w:spacing w:after="60" w:line="240" w:lineRule="auto"/>
    </w:pPr>
    <w:rPr>
      <w:rFonts w:ascii="Arial" w:eastAsia="Times" w:hAnsi="Arial" w:cs="Arial"/>
      <w:b/>
      <w:sz w:val="20"/>
      <w:szCs w:val="20"/>
    </w:rPr>
  </w:style>
  <w:style w:type="character" w:customStyle="1" w:styleId="Heading4Char">
    <w:name w:val="Heading 4 Char"/>
    <w:basedOn w:val="DefaultParagraphFont"/>
    <w:link w:val="Heading4"/>
    <w:uiPriority w:val="9"/>
    <w:semiHidden/>
    <w:rsid w:val="00443C70"/>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rsid w:val="00443C70"/>
    <w:pPr>
      <w:spacing w:after="0" w:line="240" w:lineRule="auto"/>
      <w:ind w:hanging="86"/>
    </w:pPr>
    <w:rPr>
      <w:rFonts w:ascii="Arial" w:eastAsia="MS Mincho" w:hAnsi="Arial" w:cs="Times New Roman"/>
      <w:sz w:val="18"/>
      <w:szCs w:val="20"/>
    </w:rPr>
  </w:style>
  <w:style w:type="character" w:customStyle="1" w:styleId="FootnoteTextChar">
    <w:name w:val="Footnote Text Char"/>
    <w:basedOn w:val="DefaultParagraphFont"/>
    <w:link w:val="FootnoteText"/>
    <w:rsid w:val="00443C70"/>
    <w:rPr>
      <w:rFonts w:ascii="Arial" w:eastAsia="MS Mincho" w:hAnsi="Arial" w:cs="Times New Roman"/>
      <w:sz w:val="18"/>
      <w:szCs w:val="20"/>
    </w:rPr>
  </w:style>
  <w:style w:type="character" w:styleId="FootnoteReference">
    <w:name w:val="footnote reference"/>
    <w:rsid w:val="00443C70"/>
    <w:rPr>
      <w:vertAlign w:val="superscript"/>
    </w:rPr>
  </w:style>
  <w:style w:type="paragraph" w:customStyle="1" w:styleId="AonTableTitle">
    <w:name w:val="Aon Table Title"/>
    <w:basedOn w:val="Normal"/>
    <w:rsid w:val="002230B2"/>
    <w:pPr>
      <w:autoSpaceDE w:val="0"/>
      <w:autoSpaceDN w:val="0"/>
      <w:adjustRightInd w:val="0"/>
      <w:spacing w:after="240" w:line="240" w:lineRule="auto"/>
      <w:textAlignment w:val="center"/>
    </w:pPr>
    <w:rPr>
      <w:rFonts w:ascii="Arial" w:eastAsia="Times New Roman" w:hAnsi="Arial" w:cs="Times New Roman"/>
      <w:b/>
      <w:bCs/>
      <w:color w:val="000000"/>
      <w:sz w:val="20"/>
      <w:szCs w:val="20"/>
    </w:rPr>
  </w:style>
  <w:style w:type="paragraph" w:styleId="EndnoteText">
    <w:name w:val="endnote text"/>
    <w:basedOn w:val="Normal"/>
    <w:link w:val="EndnoteTextChar"/>
    <w:uiPriority w:val="99"/>
    <w:semiHidden/>
    <w:unhideWhenUsed/>
    <w:rsid w:val="00212E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2EDC"/>
    <w:rPr>
      <w:sz w:val="20"/>
      <w:szCs w:val="20"/>
    </w:rPr>
  </w:style>
  <w:style w:type="character" w:styleId="EndnoteReference">
    <w:name w:val="endnote reference"/>
    <w:basedOn w:val="DefaultParagraphFont"/>
    <w:uiPriority w:val="99"/>
    <w:semiHidden/>
    <w:unhideWhenUsed/>
    <w:rsid w:val="00212EDC"/>
    <w:rPr>
      <w:vertAlign w:val="superscript"/>
    </w:rPr>
  </w:style>
  <w:style w:type="paragraph" w:styleId="ListParagraph">
    <w:name w:val="List Paragraph"/>
    <w:basedOn w:val="Normal"/>
    <w:uiPriority w:val="34"/>
    <w:qFormat/>
    <w:rsid w:val="00F25D3B"/>
    <w:pPr>
      <w:ind w:left="720"/>
      <w:contextualSpacing/>
    </w:pPr>
  </w:style>
  <w:style w:type="character" w:styleId="Hyperlink">
    <w:name w:val="Hyperlink"/>
    <w:basedOn w:val="DefaultParagraphFont"/>
    <w:uiPriority w:val="99"/>
    <w:unhideWhenUsed/>
    <w:rsid w:val="002A45CB"/>
    <w:rPr>
      <w:color w:val="0000FF" w:themeColor="hyperlink"/>
      <w:u w:val="single"/>
    </w:rPr>
  </w:style>
  <w:style w:type="paragraph" w:styleId="Revision">
    <w:name w:val="Revision"/>
    <w:hidden/>
    <w:uiPriority w:val="99"/>
    <w:semiHidden/>
    <w:rsid w:val="005032FE"/>
    <w:pPr>
      <w:spacing w:after="0" w:line="240" w:lineRule="auto"/>
    </w:pPr>
  </w:style>
  <w:style w:type="character" w:styleId="FollowedHyperlink">
    <w:name w:val="FollowedHyperlink"/>
    <w:basedOn w:val="DefaultParagraphFont"/>
    <w:uiPriority w:val="99"/>
    <w:semiHidden/>
    <w:unhideWhenUsed/>
    <w:rsid w:val="00AB1D0A"/>
    <w:rPr>
      <w:color w:val="800080" w:themeColor="followedHyperlink"/>
      <w:u w:val="single"/>
    </w:rPr>
  </w:style>
  <w:style w:type="paragraph" w:customStyle="1" w:styleId="pf0">
    <w:name w:val="pf0"/>
    <w:basedOn w:val="Normal"/>
    <w:rsid w:val="00051A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51A9D"/>
    <w:rPr>
      <w:rFonts w:ascii="Segoe UI" w:hAnsi="Segoe UI" w:cs="Segoe UI" w:hint="default"/>
      <w:sz w:val="18"/>
      <w:szCs w:val="18"/>
    </w:rPr>
  </w:style>
  <w:style w:type="character" w:customStyle="1" w:styleId="cf11">
    <w:name w:val="cf11"/>
    <w:basedOn w:val="DefaultParagraphFont"/>
    <w:rsid w:val="00051A9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781">
      <w:bodyDiv w:val="1"/>
      <w:marLeft w:val="0"/>
      <w:marRight w:val="0"/>
      <w:marTop w:val="0"/>
      <w:marBottom w:val="0"/>
      <w:divBdr>
        <w:top w:val="none" w:sz="0" w:space="0" w:color="auto"/>
        <w:left w:val="none" w:sz="0" w:space="0" w:color="auto"/>
        <w:bottom w:val="none" w:sz="0" w:space="0" w:color="auto"/>
        <w:right w:val="none" w:sz="0" w:space="0" w:color="auto"/>
      </w:divBdr>
    </w:div>
    <w:div w:id="314070390">
      <w:bodyDiv w:val="1"/>
      <w:marLeft w:val="0"/>
      <w:marRight w:val="0"/>
      <w:marTop w:val="0"/>
      <w:marBottom w:val="0"/>
      <w:divBdr>
        <w:top w:val="none" w:sz="0" w:space="0" w:color="auto"/>
        <w:left w:val="none" w:sz="0" w:space="0" w:color="auto"/>
        <w:bottom w:val="none" w:sz="0" w:space="0" w:color="auto"/>
        <w:right w:val="none" w:sz="0" w:space="0" w:color="auto"/>
      </w:divBdr>
    </w:div>
    <w:div w:id="475416375">
      <w:bodyDiv w:val="1"/>
      <w:marLeft w:val="0"/>
      <w:marRight w:val="0"/>
      <w:marTop w:val="0"/>
      <w:marBottom w:val="0"/>
      <w:divBdr>
        <w:top w:val="none" w:sz="0" w:space="0" w:color="auto"/>
        <w:left w:val="none" w:sz="0" w:space="0" w:color="auto"/>
        <w:bottom w:val="none" w:sz="0" w:space="0" w:color="auto"/>
        <w:right w:val="none" w:sz="0" w:space="0" w:color="auto"/>
      </w:divBdr>
    </w:div>
    <w:div w:id="507983335">
      <w:bodyDiv w:val="1"/>
      <w:marLeft w:val="0"/>
      <w:marRight w:val="0"/>
      <w:marTop w:val="0"/>
      <w:marBottom w:val="0"/>
      <w:divBdr>
        <w:top w:val="none" w:sz="0" w:space="0" w:color="auto"/>
        <w:left w:val="none" w:sz="0" w:space="0" w:color="auto"/>
        <w:bottom w:val="none" w:sz="0" w:space="0" w:color="auto"/>
        <w:right w:val="none" w:sz="0" w:space="0" w:color="auto"/>
      </w:divBdr>
    </w:div>
    <w:div w:id="587690387">
      <w:bodyDiv w:val="1"/>
      <w:marLeft w:val="0"/>
      <w:marRight w:val="0"/>
      <w:marTop w:val="0"/>
      <w:marBottom w:val="0"/>
      <w:divBdr>
        <w:top w:val="none" w:sz="0" w:space="0" w:color="auto"/>
        <w:left w:val="none" w:sz="0" w:space="0" w:color="auto"/>
        <w:bottom w:val="none" w:sz="0" w:space="0" w:color="auto"/>
        <w:right w:val="none" w:sz="0" w:space="0" w:color="auto"/>
      </w:divBdr>
    </w:div>
    <w:div w:id="629484000">
      <w:bodyDiv w:val="1"/>
      <w:marLeft w:val="0"/>
      <w:marRight w:val="0"/>
      <w:marTop w:val="0"/>
      <w:marBottom w:val="0"/>
      <w:divBdr>
        <w:top w:val="none" w:sz="0" w:space="0" w:color="auto"/>
        <w:left w:val="none" w:sz="0" w:space="0" w:color="auto"/>
        <w:bottom w:val="none" w:sz="0" w:space="0" w:color="auto"/>
        <w:right w:val="none" w:sz="0" w:space="0" w:color="auto"/>
      </w:divBdr>
    </w:div>
    <w:div w:id="779685528">
      <w:bodyDiv w:val="1"/>
      <w:marLeft w:val="0"/>
      <w:marRight w:val="0"/>
      <w:marTop w:val="0"/>
      <w:marBottom w:val="0"/>
      <w:divBdr>
        <w:top w:val="none" w:sz="0" w:space="0" w:color="auto"/>
        <w:left w:val="none" w:sz="0" w:space="0" w:color="auto"/>
        <w:bottom w:val="none" w:sz="0" w:space="0" w:color="auto"/>
        <w:right w:val="none" w:sz="0" w:space="0" w:color="auto"/>
      </w:divBdr>
    </w:div>
    <w:div w:id="865599551">
      <w:bodyDiv w:val="1"/>
      <w:marLeft w:val="0"/>
      <w:marRight w:val="0"/>
      <w:marTop w:val="0"/>
      <w:marBottom w:val="0"/>
      <w:divBdr>
        <w:top w:val="none" w:sz="0" w:space="0" w:color="auto"/>
        <w:left w:val="none" w:sz="0" w:space="0" w:color="auto"/>
        <w:bottom w:val="none" w:sz="0" w:space="0" w:color="auto"/>
        <w:right w:val="none" w:sz="0" w:space="0" w:color="auto"/>
      </w:divBdr>
    </w:div>
    <w:div w:id="1132288677">
      <w:bodyDiv w:val="1"/>
      <w:marLeft w:val="0"/>
      <w:marRight w:val="0"/>
      <w:marTop w:val="0"/>
      <w:marBottom w:val="0"/>
      <w:divBdr>
        <w:top w:val="none" w:sz="0" w:space="0" w:color="auto"/>
        <w:left w:val="none" w:sz="0" w:space="0" w:color="auto"/>
        <w:bottom w:val="none" w:sz="0" w:space="0" w:color="auto"/>
        <w:right w:val="none" w:sz="0" w:space="0" w:color="auto"/>
      </w:divBdr>
    </w:div>
    <w:div w:id="1265698257">
      <w:bodyDiv w:val="1"/>
      <w:marLeft w:val="0"/>
      <w:marRight w:val="0"/>
      <w:marTop w:val="0"/>
      <w:marBottom w:val="0"/>
      <w:divBdr>
        <w:top w:val="none" w:sz="0" w:space="0" w:color="auto"/>
        <w:left w:val="none" w:sz="0" w:space="0" w:color="auto"/>
        <w:bottom w:val="none" w:sz="0" w:space="0" w:color="auto"/>
        <w:right w:val="none" w:sz="0" w:space="0" w:color="auto"/>
      </w:divBdr>
    </w:div>
    <w:div w:id="1280186799">
      <w:bodyDiv w:val="1"/>
      <w:marLeft w:val="0"/>
      <w:marRight w:val="0"/>
      <w:marTop w:val="0"/>
      <w:marBottom w:val="0"/>
      <w:divBdr>
        <w:top w:val="none" w:sz="0" w:space="0" w:color="auto"/>
        <w:left w:val="none" w:sz="0" w:space="0" w:color="auto"/>
        <w:bottom w:val="none" w:sz="0" w:space="0" w:color="auto"/>
        <w:right w:val="none" w:sz="0" w:space="0" w:color="auto"/>
      </w:divBdr>
    </w:div>
    <w:div w:id="1425034898">
      <w:bodyDiv w:val="1"/>
      <w:marLeft w:val="0"/>
      <w:marRight w:val="0"/>
      <w:marTop w:val="0"/>
      <w:marBottom w:val="0"/>
      <w:divBdr>
        <w:top w:val="none" w:sz="0" w:space="0" w:color="auto"/>
        <w:left w:val="none" w:sz="0" w:space="0" w:color="auto"/>
        <w:bottom w:val="none" w:sz="0" w:space="0" w:color="auto"/>
        <w:right w:val="none" w:sz="0" w:space="0" w:color="auto"/>
      </w:divBdr>
    </w:div>
    <w:div w:id="1463229643">
      <w:bodyDiv w:val="1"/>
      <w:marLeft w:val="0"/>
      <w:marRight w:val="0"/>
      <w:marTop w:val="0"/>
      <w:marBottom w:val="0"/>
      <w:divBdr>
        <w:top w:val="none" w:sz="0" w:space="0" w:color="auto"/>
        <w:left w:val="none" w:sz="0" w:space="0" w:color="auto"/>
        <w:bottom w:val="none" w:sz="0" w:space="0" w:color="auto"/>
        <w:right w:val="none" w:sz="0" w:space="0" w:color="auto"/>
      </w:divBdr>
    </w:div>
    <w:div w:id="1499807130">
      <w:bodyDiv w:val="1"/>
      <w:marLeft w:val="0"/>
      <w:marRight w:val="0"/>
      <w:marTop w:val="0"/>
      <w:marBottom w:val="0"/>
      <w:divBdr>
        <w:top w:val="none" w:sz="0" w:space="0" w:color="auto"/>
        <w:left w:val="none" w:sz="0" w:space="0" w:color="auto"/>
        <w:bottom w:val="none" w:sz="0" w:space="0" w:color="auto"/>
        <w:right w:val="none" w:sz="0" w:space="0" w:color="auto"/>
      </w:divBdr>
    </w:div>
    <w:div w:id="1585258440">
      <w:bodyDiv w:val="1"/>
      <w:marLeft w:val="0"/>
      <w:marRight w:val="0"/>
      <w:marTop w:val="0"/>
      <w:marBottom w:val="0"/>
      <w:divBdr>
        <w:top w:val="none" w:sz="0" w:space="0" w:color="auto"/>
        <w:left w:val="none" w:sz="0" w:space="0" w:color="auto"/>
        <w:bottom w:val="none" w:sz="0" w:space="0" w:color="auto"/>
        <w:right w:val="none" w:sz="0" w:space="0" w:color="auto"/>
      </w:divBdr>
    </w:div>
    <w:div w:id="1623727994">
      <w:bodyDiv w:val="1"/>
      <w:marLeft w:val="0"/>
      <w:marRight w:val="0"/>
      <w:marTop w:val="0"/>
      <w:marBottom w:val="0"/>
      <w:divBdr>
        <w:top w:val="none" w:sz="0" w:space="0" w:color="auto"/>
        <w:left w:val="none" w:sz="0" w:space="0" w:color="auto"/>
        <w:bottom w:val="none" w:sz="0" w:space="0" w:color="auto"/>
        <w:right w:val="none" w:sz="0" w:space="0" w:color="auto"/>
      </w:divBdr>
    </w:div>
    <w:div w:id="19989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hrm.virginia.gov/finance-and-administr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ep xmlns="4c387f2a-5871-4000-b007-93843f6a7e28">20</Step>
    <Workpaper_x0020_Stage xmlns="4c387f2a-5871-4000-b007-93843f6a7e28">AUDIT TOOL/RESOURCE</Workpaper_x0020_Stage>
    <Management_x0020_Point xmlns="4c387f2a-5871-4000-b007-93843f6a7e28">false</Management_x0020_Point>
    <Program xmlns="4c387f2a-5871-4000-b007-93843f6a7e28">Actuary (AK)</Program>
    <AgencyProject xmlns="4c387f2a-5871-4000-b007-93843f6a7e28">SET ON PROJECT PAGE</AgencyProject>
    <_dlc_DocId xmlns="a73c7124-56d8-4958-90ba-2cf07eebd3cb">5KACJSHHQ2DP-381637547-39</_dlc_DocId>
    <_dlc_DocIdUrl xmlns="a73c7124-56d8-4958-90ba-2cf07eebd3cb">
      <Url>http://watson/Projects/studies/self/Self/_layouts/15/DocIdRedir.aspx?ID=5KACJSHHQ2DP-381637547-39</Url>
      <Description>5KACJSHHQ2DP-381637547-39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F840FF239A348B3F08196C43D597A" ma:contentTypeVersion="0" ma:contentTypeDescription="Create a new document." ma:contentTypeScope="" ma:versionID="b325b2b744519a75b0108e4da071cd14">
  <xsd:schema xmlns:xsd="http://www.w3.org/2001/XMLSchema" xmlns:xs="http://www.w3.org/2001/XMLSchema" xmlns:p="http://schemas.microsoft.com/office/2006/metadata/properties" xmlns:ns2="a73c7124-56d8-4958-90ba-2cf07eebd3cb" xmlns:ns3="4c387f2a-5871-4000-b007-93843f6a7e28" targetNamespace="http://schemas.microsoft.com/office/2006/metadata/properties" ma:root="true" ma:fieldsID="06f76cfa2972be582179b20b7aa1275e" ns2:_="" ns3:_="">
    <xsd:import namespace="a73c7124-56d8-4958-90ba-2cf07eebd3cb"/>
    <xsd:import namespace="4c387f2a-5871-4000-b007-93843f6a7e28"/>
    <xsd:element name="properties">
      <xsd:complexType>
        <xsd:sequence>
          <xsd:element name="documentManagement">
            <xsd:complexType>
              <xsd:all>
                <xsd:element ref="ns2:_dlc_DocId" minOccurs="0"/>
                <xsd:element ref="ns2:_dlc_DocIdUrl" minOccurs="0"/>
                <xsd:element ref="ns2:_dlc_DocIdPersistId" minOccurs="0"/>
                <xsd:element ref="ns3:AgencyProject"/>
                <xsd:element ref="ns3:Program"/>
                <xsd:element ref="ns3:Step"/>
                <xsd:element ref="ns3:Workpaper_x0020_Stage"/>
                <xsd:element ref="ns3:Management_x0020_Po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7124-56d8-4958-90ba-2cf07eeb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387f2a-5871-4000-b007-93843f6a7e28" elementFormDefault="qualified">
    <xsd:import namespace="http://schemas.microsoft.com/office/2006/documentManagement/types"/>
    <xsd:import namespace="http://schemas.microsoft.com/office/infopath/2007/PartnerControls"/>
    <xsd:element name="AgencyProject" ma:index="11" ma:displayName="AgencyProject" ma:default="SET ON PROJECT PAGE" ma:description="On single agency projects, all files should have the same AgencyProject.  See SharePoint instructions for the code you should use.  Projects with multiple agencies can use AgencyProject to organize their workpapers by the respective agencies within the same library." ma:format="RadioButtons" ma:internalName="AgencyProject">
      <xsd:simpleType>
        <xsd:restriction base="dms:Choice">
          <xsd:enumeration value="SET ON PROJECT PAGE"/>
        </xsd:restriction>
      </xsd:simpleType>
    </xsd:element>
    <xsd:element name="Program" ma:index="12" ma:displayName="Program" ma:description="Name of the audit program along with its short reference in parentheses." ma:format="Dropdown" ma:internalName="Program">
      <xsd:simpleType>
        <xsd:restriction base="dms:Choice">
          <xsd:enumeration value="AA: Planning and Admin (PL)"/>
          <xsd:enumeration value="Acquisitions and Contract Management (AC)"/>
          <xsd:enumeration value="Agreed Upon Procedures (AU)"/>
          <xsd:enumeration value="Assurance Services VNAV (AS)"/>
          <xsd:enumeration value="Capital Asset Management (CM)"/>
          <xsd:enumeration value="Cash and Investments (CI)"/>
          <xsd:enumeration value="Central Work (CW)"/>
          <xsd:enumeration value="Component Units (CU)"/>
          <xsd:enumeration value="Data Analysis (DA)"/>
          <xsd:enumeration value="eVA Program (EV)"/>
          <xsd:enumeration value="Expenditures (EX)"/>
          <xsd:enumeration value="Federal (FE)"/>
          <xsd:enumeration value="Financial Statements (FS)"/>
          <xsd:enumeration value="General Program (GP)"/>
          <xsd:enumeration value="Information Systems Security (SS)"/>
          <xsd:enumeration value="Internal Controls (IC)"/>
          <xsd:enumeration value="Payroll (PR)"/>
          <xsd:enumeration value="Revenue (RV)"/>
          <xsd:enumeration value="State Compliance (SC)"/>
          <xsd:enumeration value="Student Financial Aid (SA)"/>
          <xsd:enumeration value="Systems Access (SY)"/>
          <xsd:enumeration value="Trial Balance (TB)"/>
          <xsd:enumeration value="xPBC (PBC)"/>
          <xsd:enumeration value="Accounts Payables (AP)"/>
          <xsd:enumeration value="Accounts Receivable (AR)"/>
          <xsd:enumeration value="ACFR (CA)"/>
          <xsd:enumeration value="Capital Projects (CP)"/>
          <xsd:enumeration value="Component Units - Higher Ed (UH)"/>
          <xsd:enumeration value="Component Units-Statement Ent. (US)"/>
          <xsd:enumeration value="Component Units-Template Ent. (UT)"/>
          <xsd:enumeration value="Custodial and Private Purpose (FU)"/>
          <xsd:enumeration value="Debt - GASB Reporting (DG)"/>
          <xsd:enumeration value="DRES (DR)"/>
          <xsd:enumeration value="Enterprise (EN)"/>
          <xsd:enumeration value="General Fund - Final (FF)"/>
          <xsd:enumeration value="General Fund - Preliminary (FP)"/>
          <xsd:enumeration value="Government Wide Statements (GW)"/>
          <xsd:enumeration value="Internal Service (IF)"/>
          <xsd:enumeration value="Inventory (IN)"/>
          <xsd:enumeration value="Investments - GASB Reporting (IG)"/>
          <xsd:enumeration value="Leases (LE)"/>
          <xsd:enumeration value="Major Governmental (MG)"/>
          <xsd:enumeration value="Misc. Statewide Controls (MS)"/>
          <xsd:enumeration value="Non-Major Governmental (NG)"/>
          <xsd:enumeration value="OPEB Implementation (OP)"/>
          <xsd:enumeration value="Pension (PN)"/>
          <xsd:enumeration value="Permanent Fund (PF)"/>
          <xsd:enumeration value="Private-Purpose (PP)"/>
          <xsd:enumeration value="Revenue Distribution Program (RE)"/>
          <xsd:enumeration value="Revenue Stabilization Fund (RF)"/>
          <xsd:enumeration value="Spec Revenue Federal Prelim (SX)"/>
          <xsd:enumeration value="Special Rev - Final (SF)"/>
          <xsd:enumeration value="Special Rev - Prelim (SP)"/>
          <xsd:enumeration value="Special Revenue CTF - Prelim (SB)"/>
          <xsd:enumeration value="Special Revenue CTF (SZ)"/>
          <xsd:enumeration value="Special Revenue Federal (SE)"/>
          <xsd:enumeration value="Transfers (TF)"/>
          <xsd:enumeration value="Facility Operations (AO)"/>
          <xsd:enumeration value="Payments in Lieu of Taxes (PX)"/>
          <xsd:enumeration value="Standards of Quality (SQ)"/>
          <xsd:enumeration value="Budget and Cost Allocation (BC)"/>
          <xsd:enumeration value="Data Retrieval (DR)"/>
          <xsd:enumeration value="Eligibility (EB)"/>
          <xsd:enumeration value="Subrecipient Monitoring (SM)"/>
          <xsd:enumeration value="Higher Education (HE)"/>
          <xsd:enumeration value="NCAA (NC)"/>
          <xsd:enumeration value="CMIA (CC)"/>
          <xsd:enumeration value="SICAP (SI)"/>
          <xsd:enumeration value="Business Process Review"/>
          <xsd:enumeration value="ACFR Debt Service (DS)"/>
          <xsd:enumeration value="ACFR Investment Trust (IV)"/>
          <xsd:enumeration value="Debt Management (DE)"/>
          <xsd:enumeration value="LGIP (LP)"/>
          <xsd:enumeration value="Risk Management (RK)"/>
          <xsd:enumeration value="Securities Lending (SL)"/>
          <xsd:enumeration value="SNAP (SK)"/>
          <xsd:enumeration value="Unclaimed Property (UP)"/>
          <xsd:enumeration value="VA College Building Authority (VC)"/>
          <xsd:enumeration value="VA Public Building Authority (VB)"/>
          <xsd:enumeration value="VA Public School Authority (VP)"/>
          <xsd:enumeration value="Actuary (AK)"/>
          <xsd:enumeration value="Actuary and Census Data (AD)"/>
          <xsd:enumeration value="Contributions (CB)"/>
          <xsd:enumeration value="OPEBs – Health Insurance Credit (HI)"/>
          <xsd:enumeration value="OPEBs – Cost Sharing (OH)"/>
          <xsd:enumeration value="Other Benefits (OB)"/>
          <xsd:enumeration value="Pension – Cost Sharing (PC)"/>
          <xsd:enumeration value="Pension – Multiple Agent (P1)"/>
          <xsd:enumeration value="Retirement Benefits (RB)"/>
        </xsd:restriction>
      </xsd:simpleType>
    </xsd:element>
    <xsd:element name="Step" ma:index="13" ma:displayName="Step" ma:description="The step number that the file relates to within the audit program.  If the file relates to more than one step, use the number of the step that the file was first used.  Audit programs should have the step number zero." ma:internalName="Step">
      <xsd:simpleType>
        <xsd:restriction base="dms:Number"/>
      </xsd:simpleType>
    </xsd:element>
    <xsd:element name="Workpaper_x0020_Stage" ma:index="14" ma:displayName="Workpaper Stage" ma:default="AUDIT TOOL/RESOURCE" ma:description="The current stage/status of a file." ma:format="RadioButtons" ma:internalName="Workpaper_x0020_Stage">
      <xsd:simpleType>
        <xsd:restriction base="dms:Choice">
          <xsd:enumeration value="AUDIT TOOL/RESOURCE"/>
          <xsd:enumeration value="TO BE DELETED"/>
          <xsd:enumeration value="Staff"/>
          <xsd:enumeration value="In-Charge"/>
          <xsd:enumeration value="DA Reviewer"/>
          <xsd:enumeration value="ISS Reviewer"/>
          <xsd:enumeration value="Project Manager"/>
          <xsd:enumeration value="Finalized"/>
        </xsd:restriction>
      </xsd:simpleType>
    </xsd:element>
    <xsd:element name="Management_x0020_Point" ma:index="15" nillable="true" ma:displayName="Management Point" ma:default="0" ma:description="Check=Yes, Blank=No: Only those files with a Management Point (Written, Verbal, Comment to Management, Risk Alert, including Management’s response) will be checked with a &quot;Yes&quot; response.  All Workpaper libraries will have a “Management Point” view to allow users to see only Management Point files marked with Yes.  Audit teams will use the file’s name to handle Management Point numbering, subject, and which version.  For example:&#10;    MP01 Access Control for Management FOIAE.docx&#10;    MP01 Access Control Management’s Response.docx&#10;    MP01 Access Control for Report Sanitized.docx" ma:internalName="Management_x0020_Poi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35801E-BB4E-4FC4-8E33-A2DB73C12C3E}">
  <ds:schemaRefs>
    <ds:schemaRef ds:uri="http://schemas.microsoft.com/office/2006/metadata/properties"/>
    <ds:schemaRef ds:uri="http://schemas.microsoft.com/office/infopath/2007/PartnerControls"/>
    <ds:schemaRef ds:uri="4c387f2a-5871-4000-b007-93843f6a7e28"/>
    <ds:schemaRef ds:uri="a73c7124-56d8-4958-90ba-2cf07eebd3cb"/>
  </ds:schemaRefs>
</ds:datastoreItem>
</file>

<file path=customXml/itemProps2.xml><?xml version="1.0" encoding="utf-8"?>
<ds:datastoreItem xmlns:ds="http://schemas.openxmlformats.org/officeDocument/2006/customXml" ds:itemID="{F635766B-1D8C-424A-99B0-3C9C0FE4BA11}">
  <ds:schemaRefs>
    <ds:schemaRef ds:uri="http://schemas.microsoft.com/sharepoint/v3/contenttype/forms"/>
  </ds:schemaRefs>
</ds:datastoreItem>
</file>

<file path=customXml/itemProps3.xml><?xml version="1.0" encoding="utf-8"?>
<ds:datastoreItem xmlns:ds="http://schemas.openxmlformats.org/officeDocument/2006/customXml" ds:itemID="{2E7510BD-B479-4316-B7FB-6E01089F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c7124-56d8-4958-90ba-2cf07eebd3cb"/>
    <ds:schemaRef ds:uri="4c387f2a-5871-4000-b007-93843f6a7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67045-02C1-480B-85DB-B87A4E6F68DD}">
  <ds:schemaRefs>
    <ds:schemaRef ds:uri="http://schemas.openxmlformats.org/officeDocument/2006/bibliography"/>
  </ds:schemaRefs>
</ds:datastoreItem>
</file>

<file path=customXml/itemProps5.xml><?xml version="1.0" encoding="utf-8"?>
<ds:datastoreItem xmlns:ds="http://schemas.openxmlformats.org/officeDocument/2006/customXml" ds:itemID="{28226652-8DC2-41EE-8D54-377E0FFD8ACA}">
  <ds:schemaRefs>
    <ds:schemaRef ds:uri="http://schemas.microsoft.com/sharepoint/event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Kadlubek</dc:creator>
  <cp:lastModifiedBy>Sandlin, Denise (DHRM)</cp:lastModifiedBy>
  <cp:revision>2</cp:revision>
  <cp:lastPrinted>2023-07-28T15:44:00Z</cp:lastPrinted>
  <dcterms:created xsi:type="dcterms:W3CDTF">2025-08-29T13:38:00Z</dcterms:created>
  <dcterms:modified xsi:type="dcterms:W3CDTF">2025-08-29T13:38:00Z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0x010100437F840FF239A348B3F08196C43D597A</vt:lpwstr>
  </property>
  <property fmtid="{D5CDD505-2E9C-101B-9397-08002B2CF9AE}" pid="3" name="_dlc_DocIdItemGuid">
    <vt:lpwstr>0779a788-a583-47ba-a8d3-1bf780df9649</vt:lpwstr>
  </property>
</Properties>
</file>