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F2" w:rsidRPr="009F451E" w:rsidRDefault="009F451E">
      <w:pPr>
        <w:spacing w:after="0" w:line="240" w:lineRule="auto"/>
        <w:jc w:val="center"/>
        <w:rPr>
          <w:rFonts w:ascii="Arial" w:eastAsia="Arial" w:hAnsi="Arial" w:cs="Arial"/>
          <w:b/>
          <w:caps/>
        </w:rPr>
      </w:pPr>
      <w:r w:rsidRPr="009F451E">
        <w:rPr>
          <w:rFonts w:ascii="Arial" w:eastAsia="Arial" w:hAnsi="Arial" w:cs="Arial"/>
          <w:b/>
          <w:caps/>
        </w:rPr>
        <w:t>Employee Testing Options</w:t>
      </w:r>
    </w:p>
    <w:p w:rsidR="00F82DF2" w:rsidRPr="009F451E" w:rsidRDefault="009F451E">
      <w:pPr>
        <w:spacing w:after="0" w:line="240" w:lineRule="auto"/>
        <w:jc w:val="center"/>
        <w:rPr>
          <w:rFonts w:ascii="Arial" w:eastAsia="Arial" w:hAnsi="Arial" w:cs="Arial"/>
          <w:b/>
          <w:caps/>
        </w:rPr>
      </w:pPr>
      <w:r w:rsidRPr="009F451E">
        <w:rPr>
          <w:rFonts w:ascii="Arial" w:eastAsia="Arial" w:hAnsi="Arial" w:cs="Arial"/>
          <w:b/>
          <w:caps/>
        </w:rPr>
        <w:t>For Agency Consideration</w:t>
      </w:r>
    </w:p>
    <w:p w:rsidR="00F82DF2" w:rsidRDefault="00F82DF2">
      <w:pPr>
        <w:jc w:val="center"/>
        <w:rPr>
          <w:rFonts w:ascii="Arial" w:eastAsia="Arial" w:hAnsi="Arial" w:cs="Arial"/>
        </w:rPr>
      </w:pPr>
    </w:p>
    <w:p w:rsidR="00F82DF2" w:rsidRDefault="009F45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Testing for COVID-19 does not lend itself to a one-size-fits-all solution. State agencies have a variety of missions, workforces, environments, geographical locations and </w:t>
      </w:r>
      <w:proofErr w:type="spellStart"/>
      <w:r>
        <w:rPr>
          <w:rFonts w:ascii="Arial" w:eastAsia="Arial" w:hAnsi="Arial" w:cs="Arial"/>
        </w:rPr>
        <w:t>dispersement</w:t>
      </w:r>
      <w:proofErr w:type="spellEnd"/>
      <w:r>
        <w:rPr>
          <w:rFonts w:ascii="Arial" w:eastAsia="Arial" w:hAnsi="Arial" w:cs="Arial"/>
        </w:rPr>
        <w:t xml:space="preserve"> of staff. DHRM consulted with the Virginia Department of Health (VDH) to identify considerations for agencies as they arrange for employee testing to comply with Executive Directive #18.</w:t>
      </w:r>
    </w:p>
    <w:p w:rsidR="00F82DF2" w:rsidRDefault="009F451E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1800225" cy="31623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1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2DF2" w:rsidRDefault="009F45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Considerations for selection of testing for non-healthcare workplaces </w:t>
      </w:r>
      <w:proofErr w:type="gramStart"/>
      <w:r>
        <w:rPr>
          <w:rFonts w:ascii="Arial" w:eastAsia="Arial" w:hAnsi="Arial" w:cs="Arial"/>
        </w:rPr>
        <w:t>are noted</w:t>
      </w:r>
      <w:proofErr w:type="gramEnd"/>
      <w:r>
        <w:rPr>
          <w:rFonts w:ascii="Arial" w:eastAsia="Arial" w:hAnsi="Arial" w:cs="Arial"/>
        </w:rPr>
        <w:t xml:space="preserve"> </w:t>
      </w:r>
      <w:r w:rsidRPr="00892C0D">
        <w:rPr>
          <w:rFonts w:ascii="Arial" w:eastAsia="Arial" w:hAnsi="Arial" w:cs="Arial"/>
          <w:b/>
        </w:rPr>
        <w:t xml:space="preserve">on the </w:t>
      </w:r>
      <w:hyperlink r:id="rId9">
        <w:r w:rsidRPr="00892C0D">
          <w:rPr>
            <w:rFonts w:ascii="Arial" w:eastAsia="Arial" w:hAnsi="Arial" w:cs="Arial"/>
            <w:b/>
            <w:color w:val="0563C1"/>
            <w:u w:val="single"/>
          </w:rPr>
          <w:t>VDH Website</w:t>
        </w:r>
      </w:hyperlink>
      <w:r>
        <w:rPr>
          <w:rFonts w:ascii="Arial" w:eastAsia="Arial" w:hAnsi="Arial" w:cs="Arial"/>
          <w:color w:val="0563C1"/>
          <w:u w:val="single"/>
        </w:rPr>
        <w:t xml:space="preserve">   </w:t>
      </w:r>
    </w:p>
    <w:p w:rsidR="00F82DF2" w:rsidRDefault="009F4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PCR (Polymerase Chain Reaction)</w:t>
      </w:r>
      <w:r>
        <w:rPr>
          <w:rFonts w:ascii="Arial" w:eastAsia="Arial" w:hAnsi="Arial" w:cs="Arial"/>
          <w:color w:val="000000"/>
        </w:rPr>
        <w:t xml:space="preserve"> – </w:t>
      </w:r>
    </w:p>
    <w:p w:rsidR="00F82DF2" w:rsidRDefault="009F4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According to VDH and the Centers for Disease Control &amp; Prevention (CDC), the “gold standard” for COVID-19 testing. </w:t>
      </w:r>
    </w:p>
    <w:p w:rsidR="00F82DF2" w:rsidRDefault="009F4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is a more sensitive test that requires the use of a laboratory, and, while a turnaround time for results may be as little as 24 hours, the turnaround time is subject to delays based on the volume of testing being conducted and the laboratory’s capacity. </w:t>
      </w:r>
    </w:p>
    <w:p w:rsidR="00F82DF2" w:rsidRDefault="009F4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These tests require nasal, throat, or saliva swabs. </w:t>
      </w:r>
    </w:p>
    <w:p w:rsidR="00F82DF2" w:rsidRDefault="009F4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cost for an individual test is approximately $65+. </w:t>
      </w:r>
    </w:p>
    <w:p w:rsidR="00F82DF2" w:rsidRDefault="009F4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Antigen testing (the so-called rapid testing)</w:t>
      </w:r>
      <w:r>
        <w:rPr>
          <w:rFonts w:ascii="Arial" w:eastAsia="Arial" w:hAnsi="Arial" w:cs="Arial"/>
          <w:color w:val="000000"/>
        </w:rPr>
        <w:t xml:space="preserve"> – </w:t>
      </w:r>
    </w:p>
    <w:p w:rsidR="00F82DF2" w:rsidRDefault="009F4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Doesn’t</w:t>
      </w:r>
      <w:proofErr w:type="gramEnd"/>
      <w:r>
        <w:rPr>
          <w:rFonts w:ascii="Arial" w:eastAsia="Arial" w:hAnsi="Arial" w:cs="Arial"/>
          <w:color w:val="000000"/>
        </w:rPr>
        <w:t xml:space="preserve"> require laboratory involvement and is less sensitive than the PCR. </w:t>
      </w:r>
    </w:p>
    <w:p w:rsidR="00F82DF2" w:rsidRDefault="009F4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Tests </w:t>
      </w:r>
      <w:proofErr w:type="gramStart"/>
      <w:r>
        <w:rPr>
          <w:rFonts w:ascii="Arial" w:eastAsia="Arial" w:hAnsi="Arial" w:cs="Arial"/>
          <w:color w:val="000000"/>
        </w:rPr>
        <w:t>can be observed or self-administered,</w:t>
      </w:r>
      <w:proofErr w:type="gramEnd"/>
      <w:r>
        <w:rPr>
          <w:rFonts w:ascii="Arial" w:eastAsia="Arial" w:hAnsi="Arial" w:cs="Arial"/>
          <w:color w:val="000000"/>
        </w:rPr>
        <w:t xml:space="preserve"> and the turnaround time runs 10/15 minutes to 30/45 minutes from administration to test results. </w:t>
      </w:r>
    </w:p>
    <w:p w:rsidR="00F82DF2" w:rsidRDefault="009F4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There is a higher chance of false negatives with antigen testing than with the molecular (PCR) testing.</w:t>
      </w:r>
    </w:p>
    <w:p w:rsidR="00F82DF2" w:rsidRDefault="009F4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cost of an individual test is around $25</w:t>
      </w:r>
    </w:p>
    <w:p w:rsidR="00F82DF2" w:rsidRDefault="009F45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Either antigen testing or PCR testing or both meet the Directive’s requirements.</w:t>
      </w:r>
      <w:r>
        <w:rPr>
          <w:rFonts w:ascii="Arial" w:eastAsia="Arial" w:hAnsi="Arial" w:cs="Arial"/>
          <w:vertAlign w:val="superscript"/>
        </w:rPr>
        <w:footnoteReference w:id="1"/>
      </w:r>
    </w:p>
    <w:p w:rsidR="00F82DF2" w:rsidRDefault="009F451E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1577340" cy="25908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2DF2" w:rsidRPr="00892C0D" w:rsidRDefault="009F451E">
      <w:pPr>
        <w:rPr>
          <w:rFonts w:ascii="Arial" w:eastAsia="Arial" w:hAnsi="Arial" w:cs="Arial"/>
          <w:b/>
        </w:rPr>
      </w:pPr>
      <w:r w:rsidRPr="00892C0D">
        <w:rPr>
          <w:rFonts w:ascii="Arial" w:eastAsia="Arial" w:hAnsi="Arial" w:cs="Arial"/>
          <w:b/>
        </w:rPr>
        <w:t>Reminders about testing:</w:t>
      </w:r>
    </w:p>
    <w:p w:rsidR="00AC4284" w:rsidRPr="00AC4284" w:rsidRDefault="00AC4284" w:rsidP="00AC428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AC4284">
        <w:rPr>
          <w:rFonts w:ascii="Arial" w:eastAsia="Arial" w:hAnsi="Arial" w:cs="Arial"/>
        </w:rPr>
        <w:t xml:space="preserve">Weekly COVID-19 testing for those employees identified in Executive Directive #18 </w:t>
      </w:r>
      <w:proofErr w:type="gramStart"/>
      <w:r w:rsidRPr="00AC4284">
        <w:rPr>
          <w:rFonts w:ascii="Arial" w:eastAsia="Arial" w:hAnsi="Arial" w:cs="Arial"/>
        </w:rPr>
        <w:t>is considered</w:t>
      </w:r>
      <w:proofErr w:type="gramEnd"/>
      <w:r w:rsidRPr="00AC4284">
        <w:rPr>
          <w:rFonts w:ascii="Arial" w:eastAsia="Arial" w:hAnsi="Arial" w:cs="Arial"/>
        </w:rPr>
        <w:t xml:space="preserve"> a condition of employment. Accordingly, the employer must pay for the testing.</w:t>
      </w:r>
    </w:p>
    <w:p w:rsidR="00F82DF2" w:rsidRDefault="009F4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Provide employees with information about the type of test </w:t>
      </w:r>
      <w:proofErr w:type="gramStart"/>
      <w:r>
        <w:rPr>
          <w:rFonts w:ascii="Arial" w:eastAsia="Arial" w:hAnsi="Arial" w:cs="Arial"/>
          <w:color w:val="000000"/>
        </w:rPr>
        <w:t>being used</w:t>
      </w:r>
      <w:proofErr w:type="gramEnd"/>
      <w:r>
        <w:rPr>
          <w:rFonts w:ascii="Arial" w:eastAsia="Arial" w:hAnsi="Arial" w:cs="Arial"/>
          <w:color w:val="000000"/>
        </w:rPr>
        <w:t xml:space="preserve">, how often, </w:t>
      </w:r>
      <w:r w:rsidR="00FC4EBF"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</w:rPr>
        <w:t xml:space="preserve">when the tests must be performed and reported, etc. </w:t>
      </w:r>
    </w:p>
    <w:p w:rsidR="00F82DF2" w:rsidRDefault="009F4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 them regarding your agency’s procedures for reporting this information. Such information </w:t>
      </w:r>
      <w:proofErr w:type="gramStart"/>
      <w:r>
        <w:rPr>
          <w:rFonts w:ascii="Arial" w:eastAsia="Arial" w:hAnsi="Arial" w:cs="Arial"/>
          <w:color w:val="000000"/>
        </w:rPr>
        <w:t>must be recorded</w:t>
      </w:r>
      <w:proofErr w:type="gramEnd"/>
      <w:r>
        <w:rPr>
          <w:rFonts w:ascii="Arial" w:eastAsia="Arial" w:hAnsi="Arial" w:cs="Arial"/>
          <w:color w:val="000000"/>
        </w:rPr>
        <w:t xml:space="preserve"> confidentially. If self-administered tests </w:t>
      </w:r>
      <w:proofErr w:type="gramStart"/>
      <w:r>
        <w:rPr>
          <w:rFonts w:ascii="Arial" w:eastAsia="Arial" w:hAnsi="Arial" w:cs="Arial"/>
          <w:color w:val="000000"/>
        </w:rPr>
        <w:t>are being used</w:t>
      </w:r>
      <w:proofErr w:type="gramEnd"/>
      <w:r>
        <w:rPr>
          <w:rFonts w:ascii="Arial" w:eastAsia="Arial" w:hAnsi="Arial" w:cs="Arial"/>
          <w:color w:val="000000"/>
        </w:rPr>
        <w:t>, the employee must accurately and timely report the results according to the agency’s protocols.</w:t>
      </w:r>
    </w:p>
    <w:p w:rsidR="00F82DF2" w:rsidRDefault="009F4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Consider any accommodations needed </w:t>
      </w:r>
      <w:r w:rsidR="00496B3C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 xml:space="preserve">due to medical conditions/disability or </w:t>
      </w:r>
      <w:proofErr w:type="gramStart"/>
      <w:r>
        <w:rPr>
          <w:rFonts w:ascii="Arial" w:eastAsia="Arial" w:hAnsi="Arial" w:cs="Arial"/>
          <w:color w:val="000000"/>
        </w:rPr>
        <w:t>sincerely-held</w:t>
      </w:r>
      <w:proofErr w:type="gramEnd"/>
      <w:r>
        <w:rPr>
          <w:rFonts w:ascii="Arial" w:eastAsia="Arial" w:hAnsi="Arial" w:cs="Arial"/>
          <w:color w:val="000000"/>
        </w:rPr>
        <w:t xml:space="preserve"> religious beliefs</w:t>
      </w:r>
      <w:r w:rsidR="00496B3C">
        <w:rPr>
          <w:rFonts w:ascii="Arial" w:eastAsia="Arial" w:hAnsi="Arial" w:cs="Arial"/>
          <w:color w:val="000000"/>
        </w:rPr>
        <w:t>)</w:t>
      </w:r>
      <w:r w:rsidR="002A2CC8">
        <w:rPr>
          <w:rFonts w:ascii="Arial" w:eastAsia="Arial" w:hAnsi="Arial" w:cs="Arial"/>
          <w:color w:val="000000"/>
        </w:rPr>
        <w:t>.</w:t>
      </w:r>
      <w:bookmarkStart w:id="1" w:name="_GoBack"/>
      <w:bookmarkEnd w:id="1"/>
    </w:p>
    <w:p w:rsidR="00F82DF2" w:rsidRDefault="009F4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Provide information to employees who test positive about VDH/CDC guidance.</w:t>
      </w:r>
    </w:p>
    <w:p w:rsidR="00F82DF2" w:rsidRDefault="002A2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 sure to be aware of </w:t>
      </w:r>
      <w:r w:rsidR="009F451E">
        <w:rPr>
          <w:rFonts w:ascii="Arial" w:eastAsia="Arial" w:hAnsi="Arial" w:cs="Arial"/>
          <w:color w:val="000000"/>
        </w:rPr>
        <w:t>DOLI/VDH reporting requirements</w:t>
      </w:r>
      <w:r>
        <w:rPr>
          <w:rFonts w:ascii="Arial" w:eastAsia="Arial" w:hAnsi="Arial" w:cs="Arial"/>
          <w:color w:val="000000"/>
        </w:rPr>
        <w:t xml:space="preserve"> for employers when employees test positive</w:t>
      </w:r>
      <w:r w:rsidR="009F451E">
        <w:rPr>
          <w:rFonts w:ascii="Arial" w:eastAsia="Arial" w:hAnsi="Arial" w:cs="Arial"/>
          <w:color w:val="000000"/>
        </w:rPr>
        <w:t>.</w:t>
      </w:r>
    </w:p>
    <w:sectPr w:rsidR="00F82DF2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1F" w:rsidRDefault="009F451E">
      <w:pPr>
        <w:spacing w:after="0" w:line="240" w:lineRule="auto"/>
      </w:pPr>
      <w:r>
        <w:separator/>
      </w:r>
    </w:p>
  </w:endnote>
  <w:endnote w:type="continuationSeparator" w:id="0">
    <w:p w:rsidR="00C7511F" w:rsidRDefault="009F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F2" w:rsidRDefault="009F4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Published 8-</w:t>
    </w:r>
    <w:r w:rsidR="002A2CC8">
      <w:rPr>
        <w:color w:val="000000"/>
      </w:rPr>
      <w:t>20</w:t>
    </w:r>
    <w:r>
      <w:rPr>
        <w:color w:val="000000"/>
      </w:rPr>
      <w:t>-21</w:t>
    </w:r>
  </w:p>
  <w:p w:rsidR="00F82DF2" w:rsidRDefault="00F82D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1F" w:rsidRDefault="009F451E">
      <w:pPr>
        <w:spacing w:after="0" w:line="240" w:lineRule="auto"/>
      </w:pPr>
      <w:r>
        <w:separator/>
      </w:r>
    </w:p>
  </w:footnote>
  <w:footnote w:type="continuationSeparator" w:id="0">
    <w:p w:rsidR="00C7511F" w:rsidRDefault="009F451E">
      <w:pPr>
        <w:spacing w:after="0" w:line="240" w:lineRule="auto"/>
      </w:pPr>
      <w:r>
        <w:continuationSeparator/>
      </w:r>
    </w:p>
  </w:footnote>
  <w:footnote w:id="1">
    <w:p w:rsidR="00F82DF2" w:rsidRDefault="009F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Antibody tests are blood tests that detect if an individual may have had the disease. These do not comply with the testing requirements of the Directive.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62605"/>
    <w:multiLevelType w:val="multilevel"/>
    <w:tmpl w:val="A7F29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E47949"/>
    <w:multiLevelType w:val="multilevel"/>
    <w:tmpl w:val="8A765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DD5CC2"/>
    <w:multiLevelType w:val="hybridMultilevel"/>
    <w:tmpl w:val="19D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F2"/>
    <w:rsid w:val="002A2CC8"/>
    <w:rsid w:val="00496B3C"/>
    <w:rsid w:val="00714C1A"/>
    <w:rsid w:val="00892C0D"/>
    <w:rsid w:val="009002E9"/>
    <w:rsid w:val="009F451E"/>
    <w:rsid w:val="00AC4284"/>
    <w:rsid w:val="00BE3788"/>
    <w:rsid w:val="00C7511F"/>
    <w:rsid w:val="00E97F0F"/>
    <w:rsid w:val="00F82DF2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50EA"/>
  <w15:docId w15:val="{DBDE9C36-23CF-40A1-9DD6-314EB7B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8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8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8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35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5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1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E7"/>
  </w:style>
  <w:style w:type="paragraph" w:styleId="Footer">
    <w:name w:val="footer"/>
    <w:basedOn w:val="Normal"/>
    <w:link w:val="FooterChar"/>
    <w:uiPriority w:val="99"/>
    <w:unhideWhenUsed/>
    <w:rsid w:val="00E1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E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vdh.virginia.gov/content/uploads/sites/182/2021/08/Guidance-for-Screening-Testing-in-the-Workplace____8-4-2021.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Qqw+huoSWf4lBPLy4RpRpoU0Q==">AMUW2mXlADh+Ql3vCrL1co8+0yt6bskUfuLetlk1GVUSiEs5hllugei7RywOO3/+EqneMOKd8wdygAqDbxXp7qvnMn9J1xzIqd6pfvVaMERTULPExpwobzx54yywuRwYDJKpELhTbAxN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Diane C. (DHRM)</dc:creator>
  <cp:lastModifiedBy>Anderson, Diane C. (DHRM)</cp:lastModifiedBy>
  <cp:revision>2</cp:revision>
  <dcterms:created xsi:type="dcterms:W3CDTF">2021-08-20T14:48:00Z</dcterms:created>
  <dcterms:modified xsi:type="dcterms:W3CDTF">2021-08-20T14:48:00Z</dcterms:modified>
</cp:coreProperties>
</file>