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98" w:rsidRPr="001F7D98" w:rsidRDefault="001F7D98" w:rsidP="001F7D98">
      <w:pPr>
        <w:jc w:val="center"/>
        <w:rPr>
          <w:b/>
          <w:sz w:val="24"/>
          <w:szCs w:val="24"/>
        </w:rPr>
      </w:pPr>
      <w:bookmarkStart w:id="0" w:name="_GoBack"/>
      <w:bookmarkEnd w:id="0"/>
      <w:r w:rsidRPr="001F7D98">
        <w:rPr>
          <w:b/>
          <w:sz w:val="24"/>
          <w:szCs w:val="24"/>
        </w:rPr>
        <w:t xml:space="preserve">OHB 14-01, </w:t>
      </w:r>
      <w:r w:rsidR="00613BD6">
        <w:rPr>
          <w:b/>
          <w:sz w:val="24"/>
          <w:szCs w:val="24"/>
        </w:rPr>
        <w:t xml:space="preserve"> </w:t>
      </w:r>
      <w:r w:rsidRPr="001F7D98">
        <w:rPr>
          <w:b/>
          <w:sz w:val="24"/>
          <w:szCs w:val="24"/>
        </w:rPr>
        <w:t xml:space="preserve">OHB 14-02, </w:t>
      </w:r>
      <w:r w:rsidR="00613BD6">
        <w:rPr>
          <w:b/>
          <w:sz w:val="24"/>
          <w:szCs w:val="24"/>
        </w:rPr>
        <w:t xml:space="preserve"> </w:t>
      </w:r>
      <w:r w:rsidRPr="001F7D98">
        <w:rPr>
          <w:b/>
          <w:sz w:val="24"/>
          <w:szCs w:val="24"/>
        </w:rPr>
        <w:t>OHB 14-03</w:t>
      </w:r>
    </w:p>
    <w:p w:rsidR="001F7D98" w:rsidRDefault="00B11A60" w:rsidP="001F7D98">
      <w:pPr>
        <w:pBdr>
          <w:bottom w:val="single" w:sz="4" w:space="1" w:color="auto"/>
        </w:pBdr>
        <w:jc w:val="center"/>
        <w:rPr>
          <w:b/>
          <w:sz w:val="24"/>
          <w:szCs w:val="24"/>
        </w:rPr>
      </w:pPr>
      <w:r>
        <w:rPr>
          <w:b/>
          <w:sz w:val="24"/>
          <w:szCs w:val="24"/>
        </w:rPr>
        <w:t>December 4</w:t>
      </w:r>
      <w:r w:rsidR="00613BD6">
        <w:rPr>
          <w:b/>
          <w:sz w:val="24"/>
          <w:szCs w:val="24"/>
        </w:rPr>
        <w:t xml:space="preserve">, 2014    </w:t>
      </w:r>
      <w:r w:rsidR="00D42C6D">
        <w:rPr>
          <w:b/>
          <w:sz w:val="24"/>
          <w:szCs w:val="24"/>
        </w:rPr>
        <w:t>Addendum #2</w:t>
      </w:r>
    </w:p>
    <w:p w:rsidR="00E240B5" w:rsidRDefault="001F7D98" w:rsidP="00D42C6D">
      <w:pPr>
        <w:rPr>
          <w:sz w:val="24"/>
          <w:szCs w:val="24"/>
        </w:rPr>
      </w:pPr>
      <w:r>
        <w:rPr>
          <w:sz w:val="24"/>
          <w:szCs w:val="24"/>
        </w:rPr>
        <w:t xml:space="preserve">This addendum addresses questions and concerns identified </w:t>
      </w:r>
      <w:r w:rsidR="00D42C6D">
        <w:rPr>
          <w:sz w:val="24"/>
          <w:szCs w:val="24"/>
        </w:rPr>
        <w:t xml:space="preserve">after </w:t>
      </w:r>
      <w:r>
        <w:rPr>
          <w:sz w:val="24"/>
          <w:szCs w:val="24"/>
        </w:rPr>
        <w:t xml:space="preserve">the </w:t>
      </w:r>
      <w:r w:rsidR="00D42C6D">
        <w:rPr>
          <w:sz w:val="24"/>
          <w:szCs w:val="24"/>
        </w:rPr>
        <w:t>issuance of Addendum #1 on November 25</w:t>
      </w:r>
      <w:r>
        <w:rPr>
          <w:sz w:val="24"/>
          <w:szCs w:val="24"/>
        </w:rPr>
        <w:t xml:space="preserve">, 2014.  The submission date remains unchanged.  </w:t>
      </w:r>
      <w:r w:rsidR="003C50B7">
        <w:rPr>
          <w:sz w:val="24"/>
          <w:szCs w:val="24"/>
        </w:rPr>
        <w:t xml:space="preserve">To clarify statements made in the pre-proposal meeting:  The Commonwealth will award one contract for each RFP.  If you are not able to provide all of the required services under an RFP, we recommend you partner with someone who can allow you to submit a comprehensive response.  </w:t>
      </w:r>
      <w:r w:rsidR="00264A2D">
        <w:rPr>
          <w:sz w:val="24"/>
          <w:szCs w:val="24"/>
        </w:rPr>
        <w:t>Please</w:t>
      </w:r>
      <w:r w:rsidR="008163D5">
        <w:rPr>
          <w:sz w:val="24"/>
          <w:szCs w:val="24"/>
        </w:rPr>
        <w:t xml:space="preserve"> sign this addendum and include as a part of your submission package.  </w:t>
      </w:r>
      <w:r w:rsidR="00900550">
        <w:rPr>
          <w:sz w:val="24"/>
          <w:szCs w:val="24"/>
        </w:rPr>
        <w:t xml:space="preserve"> </w:t>
      </w:r>
    </w:p>
    <w:p w:rsidR="002D045A" w:rsidRDefault="002D045A" w:rsidP="001F7D98">
      <w:pPr>
        <w:rPr>
          <w:sz w:val="24"/>
          <w:szCs w:val="24"/>
        </w:rPr>
      </w:pPr>
    </w:p>
    <w:p w:rsidR="008163D5" w:rsidRDefault="008163D5" w:rsidP="008163D5">
      <w:pPr>
        <w:pBdr>
          <w:bottom w:val="single" w:sz="4" w:space="1" w:color="auto"/>
        </w:pBdr>
        <w:rPr>
          <w:sz w:val="24"/>
          <w:szCs w:val="24"/>
        </w:rPr>
      </w:pPr>
      <w:r>
        <w:rPr>
          <w:sz w:val="24"/>
          <w:szCs w:val="24"/>
        </w:rPr>
        <w:t>X</w:t>
      </w:r>
    </w:p>
    <w:p w:rsidR="008163D5" w:rsidRDefault="008163D5" w:rsidP="001F7D98">
      <w:pPr>
        <w:rPr>
          <w:sz w:val="24"/>
          <w:szCs w:val="24"/>
        </w:rPr>
      </w:pPr>
    </w:p>
    <w:p w:rsidR="00995773" w:rsidRDefault="00995773" w:rsidP="00995773">
      <w:pPr>
        <w:rPr>
          <w:sz w:val="24"/>
          <w:szCs w:val="24"/>
        </w:rPr>
      </w:pPr>
      <w:r w:rsidRPr="00995773">
        <w:rPr>
          <w:sz w:val="24"/>
          <w:szCs w:val="24"/>
        </w:rPr>
        <w:t>1.</w:t>
      </w:r>
      <w:r w:rsidRPr="00995773">
        <w:rPr>
          <w:sz w:val="24"/>
          <w:szCs w:val="24"/>
        </w:rPr>
        <w:tab/>
      </w:r>
      <w:r w:rsidR="00A463CE">
        <w:rPr>
          <w:sz w:val="24"/>
          <w:szCs w:val="24"/>
        </w:rPr>
        <w:t xml:space="preserve">OHB 14-02, </w:t>
      </w:r>
      <w:r w:rsidR="00A463CE" w:rsidRPr="00995773">
        <w:rPr>
          <w:sz w:val="24"/>
          <w:szCs w:val="24"/>
        </w:rPr>
        <w:t>the</w:t>
      </w:r>
      <w:r w:rsidRPr="00995773">
        <w:rPr>
          <w:sz w:val="24"/>
          <w:szCs w:val="24"/>
        </w:rPr>
        <w:t xml:space="preserve"> geo access report access standards (I sent an e-mail to hnapdmbx@aon.com but it was undeliverable)</w:t>
      </w:r>
    </w:p>
    <w:p w:rsidR="005349DD" w:rsidRPr="00BE47F0" w:rsidRDefault="005349DD" w:rsidP="00995773">
      <w:pPr>
        <w:rPr>
          <w:color w:val="548DD4" w:themeColor="text2" w:themeTint="99"/>
          <w:sz w:val="24"/>
          <w:szCs w:val="24"/>
        </w:rPr>
      </w:pPr>
      <w:r w:rsidRPr="00BE47F0">
        <w:rPr>
          <w:color w:val="548DD4" w:themeColor="text2" w:themeTint="99"/>
          <w:sz w:val="24"/>
          <w:szCs w:val="24"/>
        </w:rPr>
        <w:t xml:space="preserve">Answer:  </w:t>
      </w:r>
      <w:r w:rsidR="00BE47F0" w:rsidRPr="00BE47F0">
        <w:rPr>
          <w:color w:val="548DD4" w:themeColor="text2" w:themeTint="99"/>
          <w:sz w:val="24"/>
          <w:szCs w:val="24"/>
        </w:rPr>
        <w:t>Section 6.4 of the RFP identifies the email addresses to use regarding this RFP.</w:t>
      </w:r>
      <w:r w:rsidR="00BE47F0">
        <w:rPr>
          <w:color w:val="548DD4" w:themeColor="text2" w:themeTint="99"/>
          <w:sz w:val="24"/>
          <w:szCs w:val="24"/>
        </w:rPr>
        <w:t xml:space="preserve">  </w:t>
      </w:r>
      <w:r w:rsidR="00BE47F0" w:rsidRPr="00BE47F0">
        <w:rPr>
          <w:color w:val="548DD4" w:themeColor="text2" w:themeTint="99"/>
          <w:sz w:val="24"/>
          <w:szCs w:val="24"/>
        </w:rPr>
        <w:t>A Geo Access report will not be required for OHB14-02 at this time.</w:t>
      </w:r>
    </w:p>
    <w:p w:rsidR="00995773" w:rsidRDefault="00494F33" w:rsidP="00995773">
      <w:pPr>
        <w:rPr>
          <w:sz w:val="24"/>
          <w:szCs w:val="24"/>
        </w:rPr>
      </w:pPr>
      <w:r>
        <w:rPr>
          <w:sz w:val="24"/>
          <w:szCs w:val="24"/>
        </w:rPr>
        <w:t>2</w:t>
      </w:r>
      <w:r w:rsidR="00995773" w:rsidRPr="00995773">
        <w:rPr>
          <w:sz w:val="24"/>
          <w:szCs w:val="24"/>
        </w:rPr>
        <w:t>.</w:t>
      </w:r>
      <w:r w:rsidR="00995773" w:rsidRPr="00995773">
        <w:rPr>
          <w:sz w:val="24"/>
          <w:szCs w:val="24"/>
        </w:rPr>
        <w:tab/>
      </w:r>
      <w:r w:rsidR="00A463CE">
        <w:rPr>
          <w:sz w:val="24"/>
          <w:szCs w:val="24"/>
        </w:rPr>
        <w:t xml:space="preserve">OHB 14-02, </w:t>
      </w:r>
      <w:r w:rsidR="00A463CE" w:rsidRPr="00995773">
        <w:rPr>
          <w:sz w:val="24"/>
          <w:szCs w:val="24"/>
        </w:rPr>
        <w:t>the</w:t>
      </w:r>
      <w:r w:rsidR="00995773" w:rsidRPr="00995773">
        <w:rPr>
          <w:sz w:val="24"/>
          <w:szCs w:val="24"/>
        </w:rPr>
        <w:t xml:space="preserve"> updated claims that were requested at the pre-proposal meeting. I’m not sure how close we can get to vision only claims per month but that would be preferred.</w:t>
      </w:r>
    </w:p>
    <w:p w:rsidR="00474890" w:rsidRPr="00474890" w:rsidRDefault="00474890" w:rsidP="00995773">
      <w:pPr>
        <w:rPr>
          <w:color w:val="548DD4" w:themeColor="text2" w:themeTint="99"/>
          <w:sz w:val="24"/>
          <w:szCs w:val="24"/>
        </w:rPr>
      </w:pPr>
      <w:r w:rsidRPr="00474890">
        <w:rPr>
          <w:color w:val="548DD4" w:themeColor="text2" w:themeTint="99"/>
          <w:sz w:val="24"/>
          <w:szCs w:val="24"/>
        </w:rPr>
        <w:t>Answer: There will be no additional claims information. Please use the claims and enrollment data provided.</w:t>
      </w:r>
    </w:p>
    <w:p w:rsidR="00D42C6D" w:rsidRDefault="00494F33" w:rsidP="00995773">
      <w:pPr>
        <w:rPr>
          <w:sz w:val="24"/>
          <w:szCs w:val="24"/>
        </w:rPr>
      </w:pPr>
      <w:r>
        <w:rPr>
          <w:sz w:val="24"/>
          <w:szCs w:val="24"/>
        </w:rPr>
        <w:t>3</w:t>
      </w:r>
      <w:r w:rsidR="00995773" w:rsidRPr="00995773">
        <w:rPr>
          <w:sz w:val="24"/>
          <w:szCs w:val="24"/>
        </w:rPr>
        <w:t>.</w:t>
      </w:r>
      <w:r w:rsidR="00995773" w:rsidRPr="00995773">
        <w:rPr>
          <w:sz w:val="24"/>
          <w:szCs w:val="24"/>
        </w:rPr>
        <w:tab/>
        <w:t>Can you send the current vision administrative fee?</w:t>
      </w:r>
    </w:p>
    <w:p w:rsidR="00995773" w:rsidRPr="00474890" w:rsidRDefault="00995773" w:rsidP="00995773">
      <w:pPr>
        <w:rPr>
          <w:color w:val="548DD4" w:themeColor="text2" w:themeTint="99"/>
          <w:sz w:val="24"/>
          <w:szCs w:val="24"/>
        </w:rPr>
      </w:pPr>
      <w:r w:rsidRPr="00474890">
        <w:rPr>
          <w:color w:val="548DD4" w:themeColor="text2" w:themeTint="99"/>
          <w:sz w:val="24"/>
          <w:szCs w:val="24"/>
        </w:rPr>
        <w:t xml:space="preserve">Answer:  </w:t>
      </w:r>
      <w:r w:rsidR="009B13E2">
        <w:rPr>
          <w:color w:val="548DD4" w:themeColor="text2" w:themeTint="99"/>
          <w:sz w:val="24"/>
          <w:szCs w:val="24"/>
        </w:rPr>
        <w:t>The vision rates are embedded in the medical rates and the incremental component is .93 PEPM.</w:t>
      </w:r>
    </w:p>
    <w:p w:rsidR="00995773" w:rsidRDefault="00494F33" w:rsidP="00995773">
      <w:pPr>
        <w:rPr>
          <w:color w:val="0D0D0D" w:themeColor="text1" w:themeTint="F2"/>
          <w:sz w:val="24"/>
          <w:szCs w:val="24"/>
        </w:rPr>
      </w:pPr>
      <w:r>
        <w:rPr>
          <w:color w:val="0D0D0D" w:themeColor="text1" w:themeTint="F2"/>
          <w:sz w:val="24"/>
          <w:szCs w:val="24"/>
        </w:rPr>
        <w:t>4</w:t>
      </w:r>
      <w:r w:rsidR="00995773">
        <w:rPr>
          <w:color w:val="0D0D0D" w:themeColor="text1" w:themeTint="F2"/>
          <w:sz w:val="24"/>
          <w:szCs w:val="24"/>
        </w:rPr>
        <w:t xml:space="preserve">. </w:t>
      </w:r>
      <w:r w:rsidR="00995773">
        <w:rPr>
          <w:color w:val="0D0D0D" w:themeColor="text1" w:themeTint="F2"/>
          <w:sz w:val="24"/>
          <w:szCs w:val="24"/>
        </w:rPr>
        <w:tab/>
      </w:r>
      <w:r w:rsidR="00995773" w:rsidRPr="00995773">
        <w:rPr>
          <w:color w:val="0D0D0D" w:themeColor="text1" w:themeTint="F2"/>
          <w:sz w:val="24"/>
          <w:szCs w:val="24"/>
        </w:rPr>
        <w:t xml:space="preserve">We have a question regarding the standards of performance section of the above referenced Medical, Vision &amp; Hearing RFP.  We recognize the performance standards listed in the technical questionnaire for the Medicare Supplement RFP, items 91 – 100, are very similar to the performance standards in the Part D Prescription Drug RFP for Medicare eligible retirees in 2009.  There is some overlap between these questions and the OHB14-01 Part D – Prescription drug wrap document.  However, these questions are not showing in their entirety in the Part D RFP as they have in the past.  They have also never been in a Medicare Supplement RFP.  Lastly, these standards seem to be more suited to Part D than Medicare </w:t>
      </w:r>
      <w:r w:rsidR="00995773" w:rsidRPr="00995773">
        <w:rPr>
          <w:color w:val="0D0D0D" w:themeColor="text1" w:themeTint="F2"/>
          <w:sz w:val="24"/>
          <w:szCs w:val="24"/>
        </w:rPr>
        <w:lastRenderedPageBreak/>
        <w:t>Supplement. Question:  Should we proceed under the assumption that these questions were intended to be in OHB14-01, rather than OHB14-02?</w:t>
      </w:r>
    </w:p>
    <w:p w:rsidR="00995773" w:rsidRPr="00474890" w:rsidRDefault="00995773" w:rsidP="00995773">
      <w:pPr>
        <w:rPr>
          <w:color w:val="548DD4" w:themeColor="text2" w:themeTint="99"/>
          <w:sz w:val="24"/>
          <w:szCs w:val="24"/>
        </w:rPr>
      </w:pPr>
      <w:r w:rsidRPr="00474890">
        <w:rPr>
          <w:color w:val="548DD4" w:themeColor="text2" w:themeTint="99"/>
          <w:sz w:val="24"/>
          <w:szCs w:val="24"/>
        </w:rPr>
        <w:t xml:space="preserve">Answer:  The Performance </w:t>
      </w:r>
      <w:r w:rsidR="00A463CE" w:rsidRPr="00474890">
        <w:rPr>
          <w:color w:val="548DD4" w:themeColor="text2" w:themeTint="99"/>
          <w:sz w:val="24"/>
          <w:szCs w:val="24"/>
        </w:rPr>
        <w:t>Guarantee sections</w:t>
      </w:r>
      <w:r w:rsidRPr="00474890">
        <w:rPr>
          <w:color w:val="548DD4" w:themeColor="text2" w:themeTint="99"/>
          <w:sz w:val="24"/>
          <w:szCs w:val="24"/>
        </w:rPr>
        <w:t xml:space="preserve"> in both RFP OHB14-01 and OHB14-02 Questionnaires are meant to be completed as-is.  With respect to the RFP OHB14-01 and OHB14-02 main document Sections 3.0 and the Questionnaires, generally the questionnaires will contain more specific items. Please respond to both (RFP main document via red-line; Questionnaire via line item response).  </w:t>
      </w:r>
    </w:p>
    <w:p w:rsidR="00995773" w:rsidRPr="00995773" w:rsidRDefault="00995773" w:rsidP="00995773">
      <w:pPr>
        <w:rPr>
          <w:color w:val="548DD4" w:themeColor="text2" w:themeTint="99"/>
          <w:sz w:val="24"/>
          <w:szCs w:val="24"/>
        </w:rPr>
      </w:pPr>
    </w:p>
    <w:p w:rsidR="00995773" w:rsidRPr="00474890" w:rsidRDefault="00995773" w:rsidP="00995773">
      <w:pPr>
        <w:rPr>
          <w:color w:val="548DD4" w:themeColor="text2" w:themeTint="99"/>
          <w:sz w:val="24"/>
          <w:szCs w:val="24"/>
        </w:rPr>
      </w:pPr>
      <w:r w:rsidRPr="00474890">
        <w:rPr>
          <w:color w:val="548DD4" w:themeColor="text2" w:themeTint="99"/>
          <w:sz w:val="24"/>
          <w:szCs w:val="24"/>
        </w:rPr>
        <w:t>To the extent any specific performance item between the two documents may appear to differ, cross reference your replies in both documents, clearly stating the guarantee you are proposing.</w:t>
      </w:r>
    </w:p>
    <w:p w:rsidR="00995773" w:rsidRPr="00474890" w:rsidRDefault="00494F33" w:rsidP="00995773">
      <w:pPr>
        <w:rPr>
          <w:color w:val="548DD4" w:themeColor="text2" w:themeTint="99"/>
          <w:sz w:val="24"/>
          <w:szCs w:val="24"/>
        </w:rPr>
      </w:pPr>
      <w:r>
        <w:rPr>
          <w:color w:val="0D0D0D" w:themeColor="text1" w:themeTint="F2"/>
          <w:sz w:val="24"/>
          <w:szCs w:val="24"/>
        </w:rPr>
        <w:t>5</w:t>
      </w:r>
      <w:r w:rsidR="00995773">
        <w:rPr>
          <w:color w:val="0D0D0D" w:themeColor="text1" w:themeTint="F2"/>
          <w:sz w:val="24"/>
          <w:szCs w:val="24"/>
        </w:rPr>
        <w:t>.</w:t>
      </w:r>
      <w:r w:rsidR="00995773">
        <w:rPr>
          <w:color w:val="0D0D0D" w:themeColor="text1" w:themeTint="F2"/>
          <w:sz w:val="24"/>
          <w:szCs w:val="24"/>
        </w:rPr>
        <w:tab/>
      </w:r>
      <w:r w:rsidR="00995773" w:rsidRPr="00995773">
        <w:rPr>
          <w:color w:val="0D0D0D" w:themeColor="text1" w:themeTint="F2"/>
          <w:sz w:val="24"/>
          <w:szCs w:val="24"/>
        </w:rPr>
        <w:t xml:space="preserve">Could you advise if there will be claim detail information on the above bid, similar to what was provided by Aon on Tuesday for the Part D RFP?  </w:t>
      </w:r>
      <w:r w:rsidR="00BE47F0" w:rsidRPr="00474890">
        <w:rPr>
          <w:color w:val="548DD4" w:themeColor="text2" w:themeTint="99"/>
          <w:sz w:val="24"/>
          <w:szCs w:val="24"/>
        </w:rPr>
        <w:t>Answer: There will be no additional claims information. Please use the claims and enrollment data provided.</w:t>
      </w:r>
    </w:p>
    <w:p w:rsidR="00995773" w:rsidRPr="00995773" w:rsidRDefault="00995773" w:rsidP="00995773">
      <w:pPr>
        <w:rPr>
          <w:color w:val="0D0D0D" w:themeColor="text1" w:themeTint="F2"/>
          <w:sz w:val="24"/>
          <w:szCs w:val="24"/>
        </w:rPr>
      </w:pPr>
      <w:r w:rsidRPr="00995773">
        <w:rPr>
          <w:color w:val="0D0D0D" w:themeColor="text1" w:themeTint="F2"/>
          <w:sz w:val="24"/>
          <w:szCs w:val="24"/>
        </w:rPr>
        <w:t xml:space="preserve"> </w:t>
      </w:r>
    </w:p>
    <w:p w:rsidR="00995773" w:rsidRPr="00474890" w:rsidRDefault="00995773" w:rsidP="00995773">
      <w:pPr>
        <w:rPr>
          <w:color w:val="548DD4" w:themeColor="text2" w:themeTint="99"/>
          <w:sz w:val="24"/>
          <w:szCs w:val="24"/>
        </w:rPr>
      </w:pPr>
      <w:r w:rsidRPr="00995773">
        <w:rPr>
          <w:color w:val="0D0D0D" w:themeColor="text1" w:themeTint="F2"/>
          <w:sz w:val="24"/>
          <w:szCs w:val="24"/>
        </w:rPr>
        <w:t>The other item we believe is still outstanding is the geo-access document that would be coming from a third party (I think another part of Aon…the NAPD team).  Perhaps, per question 70 of your Pre-bidder’s meeting notes, the claims detail is included with the Geo Access information, per the piece highlighted below</w:t>
      </w:r>
      <w:r w:rsidRPr="00474890">
        <w:rPr>
          <w:color w:val="548DD4" w:themeColor="text2" w:themeTint="99"/>
          <w:sz w:val="24"/>
          <w:szCs w:val="24"/>
        </w:rPr>
        <w:t>.</w:t>
      </w:r>
      <w:r w:rsidR="00BE47F0" w:rsidRPr="00474890">
        <w:rPr>
          <w:color w:val="548DD4" w:themeColor="text2" w:themeTint="99"/>
        </w:rPr>
        <w:t xml:space="preserve">    Answer:  </w:t>
      </w:r>
      <w:r w:rsidR="00BE47F0" w:rsidRPr="00474890">
        <w:rPr>
          <w:color w:val="548DD4" w:themeColor="text2" w:themeTint="99"/>
          <w:sz w:val="24"/>
          <w:szCs w:val="24"/>
        </w:rPr>
        <w:t>The required Geo Access materials will be provided this week.</w:t>
      </w:r>
    </w:p>
    <w:p w:rsidR="00995773" w:rsidRPr="00995773" w:rsidRDefault="00995773" w:rsidP="00995773">
      <w:pPr>
        <w:rPr>
          <w:color w:val="0D0D0D" w:themeColor="text1" w:themeTint="F2"/>
          <w:sz w:val="24"/>
          <w:szCs w:val="24"/>
        </w:rPr>
      </w:pPr>
      <w:r w:rsidRPr="00995773">
        <w:rPr>
          <w:color w:val="0D0D0D" w:themeColor="text1" w:themeTint="F2"/>
          <w:sz w:val="24"/>
          <w:szCs w:val="24"/>
        </w:rPr>
        <w:t xml:space="preserve"> </w:t>
      </w:r>
    </w:p>
    <w:p w:rsidR="00995773" w:rsidRPr="00A463CE" w:rsidRDefault="00A463CE" w:rsidP="00A463CE">
      <w:pPr>
        <w:ind w:left="720"/>
        <w:rPr>
          <w:i/>
          <w:color w:val="0D0D0D" w:themeColor="text1" w:themeTint="F2"/>
          <w:sz w:val="24"/>
          <w:szCs w:val="24"/>
        </w:rPr>
      </w:pPr>
      <w:r w:rsidRPr="00A463CE">
        <w:rPr>
          <w:i/>
          <w:color w:val="0D0D0D" w:themeColor="text1" w:themeTint="F2"/>
          <w:sz w:val="24"/>
          <w:szCs w:val="24"/>
        </w:rPr>
        <w:t>70</w:t>
      </w:r>
      <w:r w:rsidR="00995773" w:rsidRPr="00A463CE">
        <w:rPr>
          <w:i/>
          <w:color w:val="0D0D0D" w:themeColor="text1" w:themeTint="F2"/>
          <w:sz w:val="24"/>
          <w:szCs w:val="24"/>
        </w:rPr>
        <w:t>.</w:t>
      </w:r>
      <w:r w:rsidR="00995773" w:rsidRPr="00A463CE">
        <w:rPr>
          <w:i/>
          <w:color w:val="0D0D0D" w:themeColor="text1" w:themeTint="F2"/>
          <w:sz w:val="24"/>
          <w:szCs w:val="24"/>
        </w:rPr>
        <w:tab/>
        <w:t>Network Access and Disruption</w:t>
      </w:r>
    </w:p>
    <w:p w:rsidR="00995773" w:rsidRPr="00A463CE" w:rsidRDefault="00995773" w:rsidP="00A463CE">
      <w:pPr>
        <w:ind w:left="720"/>
        <w:rPr>
          <w:i/>
          <w:color w:val="0D0D0D" w:themeColor="text1" w:themeTint="F2"/>
          <w:sz w:val="24"/>
          <w:szCs w:val="24"/>
        </w:rPr>
      </w:pPr>
      <w:r w:rsidRPr="00A463CE">
        <w:rPr>
          <w:i/>
          <w:color w:val="0D0D0D" w:themeColor="text1" w:themeTint="F2"/>
          <w:sz w:val="24"/>
          <w:szCs w:val="24"/>
        </w:rPr>
        <w:t>-</w:t>
      </w:r>
      <w:r w:rsidRPr="00A463CE">
        <w:rPr>
          <w:i/>
          <w:color w:val="0D0D0D" w:themeColor="text1" w:themeTint="F2"/>
          <w:sz w:val="24"/>
          <w:szCs w:val="24"/>
        </w:rPr>
        <w:tab/>
        <w:t>Can you confirm when we will receive the Dental Network Access, Disruption and Reimbursement reports. When the above information is received, should all retirees be included for the Network Access report or just those currently enrolled in the dental plan?</w:t>
      </w:r>
    </w:p>
    <w:p w:rsidR="00995773" w:rsidRPr="00474890" w:rsidRDefault="00995773" w:rsidP="00A463CE">
      <w:pPr>
        <w:ind w:left="720"/>
        <w:rPr>
          <w:i/>
          <w:color w:val="548DD4" w:themeColor="text2" w:themeTint="99"/>
          <w:sz w:val="24"/>
          <w:szCs w:val="24"/>
        </w:rPr>
      </w:pPr>
      <w:r w:rsidRPr="00474890">
        <w:rPr>
          <w:i/>
          <w:color w:val="548DD4" w:themeColor="text2" w:themeTint="99"/>
          <w:sz w:val="24"/>
          <w:szCs w:val="24"/>
        </w:rPr>
        <w:t xml:space="preserve">Answer:  As outlined in the technical questionnaire, </w:t>
      </w:r>
      <w:proofErr w:type="spellStart"/>
      <w:r w:rsidRPr="00474890">
        <w:rPr>
          <w:i/>
          <w:color w:val="548DD4" w:themeColor="text2" w:themeTint="99"/>
          <w:sz w:val="24"/>
          <w:szCs w:val="24"/>
        </w:rPr>
        <w:t>offerors</w:t>
      </w:r>
      <w:proofErr w:type="spellEnd"/>
      <w:r w:rsidRPr="00474890">
        <w:rPr>
          <w:i/>
          <w:color w:val="548DD4" w:themeColor="text2" w:themeTint="99"/>
          <w:sz w:val="24"/>
          <w:szCs w:val="24"/>
        </w:rPr>
        <w:t xml:space="preserve"> will be contacted by Aon's NAPD team with information necessary to complete Access, Disruption, and/or Discount Analysis.</w:t>
      </w:r>
    </w:p>
    <w:p w:rsidR="00A463CE" w:rsidRDefault="00A463CE" w:rsidP="00A463CE">
      <w:pPr>
        <w:ind w:left="720"/>
        <w:rPr>
          <w:i/>
          <w:color w:val="0D0D0D" w:themeColor="text1" w:themeTint="F2"/>
          <w:sz w:val="24"/>
          <w:szCs w:val="24"/>
        </w:rPr>
      </w:pPr>
    </w:p>
    <w:p w:rsidR="00A463CE" w:rsidRDefault="00494F33" w:rsidP="00A463CE">
      <w:pPr>
        <w:rPr>
          <w:color w:val="0D0D0D" w:themeColor="text1" w:themeTint="F2"/>
          <w:sz w:val="24"/>
          <w:szCs w:val="24"/>
        </w:rPr>
      </w:pPr>
      <w:r>
        <w:rPr>
          <w:color w:val="0D0D0D" w:themeColor="text1" w:themeTint="F2"/>
          <w:sz w:val="24"/>
          <w:szCs w:val="24"/>
        </w:rPr>
        <w:lastRenderedPageBreak/>
        <w:t>6</w:t>
      </w:r>
      <w:r w:rsidR="00A463CE">
        <w:rPr>
          <w:color w:val="0D0D0D" w:themeColor="text1" w:themeTint="F2"/>
          <w:sz w:val="24"/>
          <w:szCs w:val="24"/>
        </w:rPr>
        <w:t>.</w:t>
      </w:r>
      <w:r w:rsidR="00A463CE">
        <w:rPr>
          <w:color w:val="0D0D0D" w:themeColor="text1" w:themeTint="F2"/>
          <w:sz w:val="24"/>
          <w:szCs w:val="24"/>
        </w:rPr>
        <w:tab/>
      </w:r>
      <w:r w:rsidR="00A463CE" w:rsidRPr="00A463CE">
        <w:rPr>
          <w:color w:val="0D0D0D" w:themeColor="text1" w:themeTint="F2"/>
          <w:sz w:val="24"/>
          <w:szCs w:val="24"/>
        </w:rPr>
        <w:t>When should I expect to receive the geo and disruption files for the vision? I sent an e-mail to hnapdmbx@aon.com but it was undeliverable.</w:t>
      </w:r>
    </w:p>
    <w:p w:rsidR="003C50B7" w:rsidRPr="003C50B7" w:rsidRDefault="003C50B7" w:rsidP="00A463CE">
      <w:pPr>
        <w:rPr>
          <w:color w:val="548DD4" w:themeColor="text2" w:themeTint="99"/>
          <w:sz w:val="24"/>
          <w:szCs w:val="24"/>
        </w:rPr>
      </w:pPr>
      <w:r w:rsidRPr="003C50B7">
        <w:rPr>
          <w:color w:val="548DD4" w:themeColor="text2" w:themeTint="99"/>
          <w:sz w:val="24"/>
          <w:szCs w:val="24"/>
        </w:rPr>
        <w:t>Answer:  All attendees of the mandatory pre-proposal meeting have been provided necessary data.  If you experience a technical problem with the data, use the contact information provided in the RFP.</w:t>
      </w:r>
    </w:p>
    <w:p w:rsidR="00A463CE" w:rsidRDefault="00494F33" w:rsidP="00A463CE">
      <w:pPr>
        <w:rPr>
          <w:color w:val="0D0D0D" w:themeColor="text1" w:themeTint="F2"/>
          <w:sz w:val="24"/>
          <w:szCs w:val="24"/>
        </w:rPr>
      </w:pPr>
      <w:r>
        <w:rPr>
          <w:color w:val="0D0D0D" w:themeColor="text1" w:themeTint="F2"/>
          <w:sz w:val="24"/>
          <w:szCs w:val="24"/>
        </w:rPr>
        <w:t>7</w:t>
      </w:r>
      <w:r w:rsidR="00A463CE" w:rsidRPr="00A463CE">
        <w:rPr>
          <w:color w:val="0D0D0D" w:themeColor="text1" w:themeTint="F2"/>
          <w:sz w:val="24"/>
          <w:szCs w:val="24"/>
        </w:rPr>
        <w:t>.</w:t>
      </w:r>
      <w:r w:rsidR="00A463CE" w:rsidRPr="00A463CE">
        <w:rPr>
          <w:color w:val="0D0D0D" w:themeColor="text1" w:themeTint="F2"/>
          <w:sz w:val="24"/>
          <w:szCs w:val="24"/>
        </w:rPr>
        <w:tab/>
        <w:t>Can you send the TLC vision plan design, a link to it or the best place to find it? Using various resources, I have come across more than one TLC vision plan design.</w:t>
      </w:r>
    </w:p>
    <w:p w:rsidR="00CF2553" w:rsidRPr="00A463CE" w:rsidRDefault="00CF2553" w:rsidP="00A463CE">
      <w:pPr>
        <w:rPr>
          <w:color w:val="0D0D0D" w:themeColor="text1" w:themeTint="F2"/>
          <w:sz w:val="24"/>
          <w:szCs w:val="24"/>
        </w:rPr>
      </w:pPr>
      <w:r w:rsidRPr="00CF2553">
        <w:rPr>
          <w:color w:val="548DD4" w:themeColor="text2" w:themeTint="99"/>
          <w:sz w:val="24"/>
          <w:szCs w:val="24"/>
        </w:rPr>
        <w:t xml:space="preserve">Answer:  The best placed to see them all is in our Comparison of Benefits, </w:t>
      </w:r>
      <w:hyperlink r:id="rId9" w:history="1">
        <w:r w:rsidRPr="00E93F51">
          <w:rPr>
            <w:rStyle w:val="Hyperlink"/>
            <w:sz w:val="24"/>
            <w:szCs w:val="24"/>
            <w14:textFill>
              <w14:solidFill>
                <w14:srgbClr w14:val="0000FF">
                  <w14:lumMod w14:val="95000"/>
                  <w14:lumOff w14:val="5000"/>
                </w14:srgbClr>
              </w14:solidFill>
            </w14:textFill>
          </w:rPr>
          <w:t>http://www.thelocalchoice.virginia.gov/planinfo/ComparisonofBenefits14_15.pdf</w:t>
        </w:r>
      </w:hyperlink>
      <w:r>
        <w:rPr>
          <w:color w:val="0D0D0D" w:themeColor="text1" w:themeTint="F2"/>
          <w:sz w:val="24"/>
          <w:szCs w:val="24"/>
        </w:rPr>
        <w:t xml:space="preserve"> </w:t>
      </w:r>
    </w:p>
    <w:p w:rsidR="00A463CE" w:rsidRDefault="00494F33" w:rsidP="00A463CE">
      <w:pPr>
        <w:rPr>
          <w:color w:val="0D0D0D" w:themeColor="text1" w:themeTint="F2"/>
          <w:sz w:val="24"/>
          <w:szCs w:val="24"/>
        </w:rPr>
      </w:pPr>
      <w:r>
        <w:rPr>
          <w:color w:val="0D0D0D" w:themeColor="text1" w:themeTint="F2"/>
          <w:sz w:val="24"/>
          <w:szCs w:val="24"/>
        </w:rPr>
        <w:t>8</w:t>
      </w:r>
      <w:r w:rsidR="00A463CE" w:rsidRPr="00A463CE">
        <w:rPr>
          <w:color w:val="0D0D0D" w:themeColor="text1" w:themeTint="F2"/>
          <w:sz w:val="24"/>
          <w:szCs w:val="24"/>
        </w:rPr>
        <w:t>.</w:t>
      </w:r>
      <w:r w:rsidR="00A463CE" w:rsidRPr="00A463CE">
        <w:rPr>
          <w:color w:val="0D0D0D" w:themeColor="text1" w:themeTint="F2"/>
          <w:sz w:val="24"/>
          <w:szCs w:val="24"/>
        </w:rPr>
        <w:tab/>
        <w:t>Please confirm that no consultant commissions are to be included in the proposal.</w:t>
      </w:r>
    </w:p>
    <w:p w:rsidR="00CF2553" w:rsidRPr="00474890" w:rsidRDefault="005349DD" w:rsidP="00A463CE">
      <w:pPr>
        <w:rPr>
          <w:color w:val="548DD4" w:themeColor="text2" w:themeTint="99"/>
          <w:sz w:val="24"/>
          <w:szCs w:val="24"/>
        </w:rPr>
      </w:pPr>
      <w:r w:rsidRPr="00474890">
        <w:rPr>
          <w:color w:val="548DD4" w:themeColor="text2" w:themeTint="99"/>
          <w:sz w:val="24"/>
          <w:szCs w:val="24"/>
        </w:rPr>
        <w:t>Answer:  All proposals will be evaluated based on the criteria set in section 6.7 of</w:t>
      </w:r>
      <w:r w:rsidR="002C1817" w:rsidRPr="00474890">
        <w:rPr>
          <w:color w:val="548DD4" w:themeColor="text2" w:themeTint="99"/>
          <w:sz w:val="24"/>
          <w:szCs w:val="24"/>
        </w:rPr>
        <w:t xml:space="preserve"> the RFPs.  Total administrative cost is one component</w:t>
      </w:r>
      <w:r w:rsidR="00494F33">
        <w:rPr>
          <w:color w:val="548DD4" w:themeColor="text2" w:themeTint="99"/>
          <w:sz w:val="24"/>
          <w:szCs w:val="24"/>
        </w:rPr>
        <w:t xml:space="preserve"> listed</w:t>
      </w:r>
      <w:r w:rsidR="002C1817" w:rsidRPr="00474890">
        <w:rPr>
          <w:color w:val="548DD4" w:themeColor="text2" w:themeTint="99"/>
          <w:sz w:val="24"/>
          <w:szCs w:val="24"/>
        </w:rPr>
        <w:t>.</w:t>
      </w:r>
    </w:p>
    <w:p w:rsidR="00E453DB" w:rsidRPr="00E453DB" w:rsidRDefault="00494F33" w:rsidP="00E453DB">
      <w:pPr>
        <w:rPr>
          <w:rFonts w:ascii="Times New Roman" w:eastAsia="Calibri" w:hAnsi="Times New Roman" w:cs="Times New Roman"/>
          <w:color w:val="0D0D0D" w:themeColor="text1" w:themeTint="F2"/>
        </w:rPr>
      </w:pPr>
      <w:r>
        <w:rPr>
          <w:color w:val="0D0D0D" w:themeColor="text1" w:themeTint="F2"/>
          <w:sz w:val="24"/>
          <w:szCs w:val="24"/>
        </w:rPr>
        <w:t>9</w:t>
      </w:r>
      <w:r w:rsidR="00E453DB">
        <w:rPr>
          <w:color w:val="0D0D0D" w:themeColor="text1" w:themeTint="F2"/>
          <w:sz w:val="24"/>
          <w:szCs w:val="24"/>
        </w:rPr>
        <w:t>.</w:t>
      </w:r>
      <w:r w:rsidR="00E453DB">
        <w:rPr>
          <w:color w:val="0D0D0D" w:themeColor="text1" w:themeTint="F2"/>
          <w:sz w:val="24"/>
          <w:szCs w:val="24"/>
        </w:rPr>
        <w:tab/>
      </w:r>
      <w:r w:rsidR="00E453DB" w:rsidRPr="00E453DB">
        <w:rPr>
          <w:rFonts w:eastAsia="Calibri" w:cs="Times New Roman"/>
          <w:color w:val="0D0D0D" w:themeColor="text1" w:themeTint="F2"/>
          <w:sz w:val="24"/>
          <w:szCs w:val="24"/>
        </w:rPr>
        <w:t>Below is pasted from the Geo Access and Disruption tab.</w:t>
      </w:r>
      <w:r w:rsidR="00E453DB" w:rsidRPr="00E453DB">
        <w:rPr>
          <w:rFonts w:ascii="Times New Roman" w:eastAsia="Calibri" w:hAnsi="Times New Roman" w:cs="Times New Roman"/>
          <w:color w:val="0D0D0D" w:themeColor="text1" w:themeTint="F2"/>
        </w:rPr>
        <w:t>    </w:t>
      </w:r>
    </w:p>
    <w:p w:rsidR="00E453DB" w:rsidRPr="00E453DB" w:rsidRDefault="00E453DB" w:rsidP="00E453DB">
      <w:pPr>
        <w:spacing w:after="0" w:line="240" w:lineRule="auto"/>
        <w:rPr>
          <w:rFonts w:ascii="Times New Roman" w:eastAsia="Calibri" w:hAnsi="Times New Roman" w:cs="Times New Roman"/>
          <w:color w:val="0000FF"/>
        </w:rPr>
      </w:pPr>
    </w:p>
    <w:tbl>
      <w:tblPr>
        <w:tblW w:w="4700" w:type="dxa"/>
        <w:tblInd w:w="-15" w:type="dxa"/>
        <w:tblCellMar>
          <w:left w:w="0" w:type="dxa"/>
          <w:right w:w="0" w:type="dxa"/>
        </w:tblCellMar>
        <w:tblLook w:val="04A0" w:firstRow="1" w:lastRow="0" w:firstColumn="1" w:lastColumn="0" w:noHBand="0" w:noVBand="1"/>
      </w:tblPr>
      <w:tblGrid>
        <w:gridCol w:w="4700"/>
      </w:tblGrid>
      <w:tr w:rsidR="00E453DB" w:rsidRPr="00E453DB" w:rsidTr="00E453DB">
        <w:trPr>
          <w:trHeight w:val="375"/>
        </w:trPr>
        <w:tc>
          <w:tcPr>
            <w:tcW w:w="4700" w:type="dxa"/>
            <w:shd w:val="clear" w:color="auto" w:fill="000080"/>
            <w:tcMar>
              <w:top w:w="0" w:type="dxa"/>
              <w:left w:w="108" w:type="dxa"/>
              <w:bottom w:w="0" w:type="dxa"/>
              <w:right w:w="108" w:type="dxa"/>
            </w:tcMar>
            <w:vAlign w:val="center"/>
            <w:hideMark/>
          </w:tcPr>
          <w:p w:rsidR="00E453DB" w:rsidRPr="00E453DB" w:rsidRDefault="00E453DB" w:rsidP="00E453DB">
            <w:pPr>
              <w:spacing w:after="0" w:line="240" w:lineRule="auto"/>
              <w:rPr>
                <w:rFonts w:ascii="Arial Narrow" w:eastAsia="Calibri" w:hAnsi="Arial Narrow" w:cs="Times New Roman"/>
                <w:b/>
                <w:bCs/>
                <w:color w:val="FFFFFF"/>
                <w:sz w:val="24"/>
                <w:szCs w:val="24"/>
              </w:rPr>
            </w:pPr>
            <w:r w:rsidRPr="00E453DB">
              <w:rPr>
                <w:rFonts w:ascii="Arial Narrow" w:eastAsia="Calibri" w:hAnsi="Arial Narrow" w:cs="Times New Roman"/>
                <w:b/>
                <w:bCs/>
                <w:color w:val="FFFFFF"/>
                <w:sz w:val="24"/>
                <w:szCs w:val="24"/>
              </w:rPr>
              <w:t>Medicare Supplemental</w:t>
            </w:r>
          </w:p>
        </w:tc>
      </w:tr>
      <w:tr w:rsidR="00E453DB" w:rsidRPr="00E453DB" w:rsidTr="00E453DB">
        <w:trPr>
          <w:trHeight w:val="1020"/>
        </w:trPr>
        <w:tc>
          <w:tcPr>
            <w:tcW w:w="4700" w:type="dxa"/>
            <w:tcBorders>
              <w:top w:val="double" w:sz="6" w:space="0" w:color="666699"/>
              <w:left w:val="double" w:sz="6" w:space="0" w:color="666699"/>
              <w:bottom w:val="double" w:sz="6" w:space="0" w:color="666699"/>
              <w:right w:val="double" w:sz="6" w:space="0" w:color="666699"/>
            </w:tcBorders>
            <w:shd w:val="clear" w:color="auto" w:fill="E5F6FF"/>
            <w:tcMar>
              <w:top w:w="0" w:type="dxa"/>
              <w:left w:w="108" w:type="dxa"/>
              <w:bottom w:w="0" w:type="dxa"/>
              <w:right w:w="108" w:type="dxa"/>
            </w:tcMar>
            <w:vAlign w:val="center"/>
            <w:hideMark/>
          </w:tcPr>
          <w:p w:rsidR="00E453DB" w:rsidRPr="00E453DB" w:rsidRDefault="00E453DB" w:rsidP="00E453DB">
            <w:pPr>
              <w:spacing w:after="0" w:line="240" w:lineRule="auto"/>
              <w:rPr>
                <w:rFonts w:ascii="Arial" w:eastAsia="Calibri" w:hAnsi="Arial" w:cs="Arial"/>
                <w:color w:val="000080"/>
                <w:sz w:val="20"/>
                <w:szCs w:val="20"/>
              </w:rPr>
            </w:pPr>
            <w:r w:rsidRPr="00E453DB">
              <w:rPr>
                <w:rFonts w:ascii="Arial" w:eastAsia="Calibri" w:hAnsi="Arial" w:cs="Arial"/>
                <w:color w:val="000080"/>
                <w:sz w:val="20"/>
                <w:szCs w:val="20"/>
              </w:rPr>
              <w:t>Affirm that you have received, completed, and submitted required Network Access Report to/from our NAPD Team (</w:t>
            </w:r>
            <w:hyperlink r:id="rId10" w:history="1">
              <w:r w:rsidRPr="00E453DB">
                <w:rPr>
                  <w:rFonts w:ascii="Arial" w:eastAsia="Calibri" w:hAnsi="Arial" w:cs="Arial"/>
                  <w:color w:val="0000FF"/>
                  <w:sz w:val="20"/>
                  <w:szCs w:val="20"/>
                  <w:u w:val="single"/>
                </w:rPr>
                <w:t>hnapdmbx@aon.com</w:t>
              </w:r>
            </w:hyperlink>
            <w:r w:rsidRPr="00E453DB">
              <w:rPr>
                <w:rFonts w:ascii="Arial" w:eastAsia="Calibri" w:hAnsi="Arial" w:cs="Arial"/>
                <w:color w:val="000080"/>
                <w:sz w:val="20"/>
                <w:szCs w:val="20"/>
              </w:rPr>
              <w:t>).</w:t>
            </w:r>
          </w:p>
        </w:tc>
      </w:tr>
    </w:tbl>
    <w:p w:rsidR="00E453DB" w:rsidRPr="00E453DB" w:rsidRDefault="00E453DB" w:rsidP="00E453DB">
      <w:pPr>
        <w:spacing w:after="0" w:line="240" w:lineRule="auto"/>
        <w:rPr>
          <w:rFonts w:ascii="Times New Roman" w:eastAsia="Calibri" w:hAnsi="Times New Roman" w:cs="Times New Roman"/>
          <w:color w:val="0000FF"/>
        </w:rPr>
      </w:pPr>
    </w:p>
    <w:p w:rsidR="00E453DB" w:rsidRPr="00E453DB" w:rsidRDefault="00E453DB" w:rsidP="00E453DB">
      <w:pPr>
        <w:spacing w:after="0" w:line="240" w:lineRule="auto"/>
        <w:rPr>
          <w:rFonts w:eastAsia="Calibri" w:cs="Times New Roman"/>
          <w:color w:val="0D0D0D" w:themeColor="text1" w:themeTint="F2"/>
          <w:sz w:val="24"/>
          <w:szCs w:val="24"/>
        </w:rPr>
      </w:pPr>
      <w:r w:rsidRPr="00E453DB">
        <w:rPr>
          <w:rFonts w:eastAsia="Calibri" w:cs="Times New Roman"/>
          <w:color w:val="0D0D0D" w:themeColor="text1" w:themeTint="F2"/>
          <w:sz w:val="24"/>
          <w:szCs w:val="24"/>
        </w:rPr>
        <w:t xml:space="preserve">In previous RFPs, there was not a request for a Medicare Supplemental Network Access Report.  There has been for vision.  We suspect that is because there is no network for Medicare Supplement plans.  If Medicare pays as primary, the Med </w:t>
      </w:r>
      <w:proofErr w:type="spellStart"/>
      <w:r w:rsidRPr="00E453DB">
        <w:rPr>
          <w:rFonts w:eastAsia="Calibri" w:cs="Times New Roman"/>
          <w:color w:val="0D0D0D" w:themeColor="text1" w:themeTint="F2"/>
          <w:sz w:val="24"/>
          <w:szCs w:val="24"/>
        </w:rPr>
        <w:t>Supp</w:t>
      </w:r>
      <w:proofErr w:type="spellEnd"/>
      <w:r w:rsidRPr="00E453DB">
        <w:rPr>
          <w:rFonts w:eastAsia="Calibri" w:cs="Times New Roman"/>
          <w:color w:val="0D0D0D" w:themeColor="text1" w:themeTint="F2"/>
          <w:sz w:val="24"/>
          <w:szCs w:val="24"/>
        </w:rPr>
        <w:t xml:space="preserve"> plan pays as secondary.  The rare instances when Med </w:t>
      </w:r>
      <w:proofErr w:type="spellStart"/>
      <w:r w:rsidRPr="00E453DB">
        <w:rPr>
          <w:rFonts w:eastAsia="Calibri" w:cs="Times New Roman"/>
          <w:color w:val="0D0D0D" w:themeColor="text1" w:themeTint="F2"/>
          <w:sz w:val="24"/>
          <w:szCs w:val="24"/>
        </w:rPr>
        <w:t>Supp</w:t>
      </w:r>
      <w:proofErr w:type="spellEnd"/>
      <w:r w:rsidRPr="00E453DB">
        <w:rPr>
          <w:rFonts w:eastAsia="Calibri" w:cs="Times New Roman"/>
          <w:color w:val="0D0D0D" w:themeColor="text1" w:themeTint="F2"/>
          <w:sz w:val="24"/>
          <w:szCs w:val="24"/>
        </w:rPr>
        <w:t xml:space="preserve"> pays but Medicare does not would be instances when geographic access does not come into play, such as durable medical equipment (much of which is ordered online on telephonically) or out of country claims.</w:t>
      </w:r>
    </w:p>
    <w:p w:rsidR="00E453DB" w:rsidRPr="00E453DB" w:rsidRDefault="00E453DB" w:rsidP="00E453DB">
      <w:pPr>
        <w:spacing w:after="0" w:line="240" w:lineRule="auto"/>
        <w:rPr>
          <w:rFonts w:eastAsia="Calibri" w:cs="Times New Roman"/>
          <w:color w:val="0D0D0D" w:themeColor="text1" w:themeTint="F2"/>
          <w:sz w:val="24"/>
          <w:szCs w:val="24"/>
        </w:rPr>
      </w:pPr>
    </w:p>
    <w:p w:rsidR="00E453DB" w:rsidRDefault="00E453DB" w:rsidP="00E453DB">
      <w:pPr>
        <w:spacing w:after="0" w:line="240" w:lineRule="auto"/>
        <w:rPr>
          <w:rFonts w:eastAsia="Calibri" w:cs="Times New Roman"/>
          <w:color w:val="0D0D0D" w:themeColor="text1" w:themeTint="F2"/>
          <w:sz w:val="24"/>
          <w:szCs w:val="24"/>
        </w:rPr>
      </w:pPr>
      <w:r w:rsidRPr="00E453DB">
        <w:rPr>
          <w:rFonts w:eastAsia="Calibri" w:cs="Times New Roman"/>
          <w:color w:val="0D0D0D" w:themeColor="text1" w:themeTint="F2"/>
          <w:sz w:val="24"/>
          <w:szCs w:val="24"/>
        </w:rPr>
        <w:t>Should this question be omitted (or will we be advised that we should omit this when we are contacted by the above referenced NAPD team)?  In the event it remains as listed above, could you explain what instances geographic network access is relevant to Medicare Supplemental?</w:t>
      </w:r>
    </w:p>
    <w:p w:rsidR="00E453DB" w:rsidRPr="00E453DB" w:rsidRDefault="00BE47F0" w:rsidP="003C50B7">
      <w:pPr>
        <w:spacing w:after="0" w:line="240" w:lineRule="auto"/>
        <w:rPr>
          <w:color w:val="0D0D0D" w:themeColor="text1" w:themeTint="F2"/>
          <w:sz w:val="24"/>
          <w:szCs w:val="24"/>
        </w:rPr>
      </w:pPr>
      <w:r w:rsidRPr="00474890">
        <w:rPr>
          <w:rFonts w:eastAsia="Calibri" w:cs="Times New Roman"/>
          <w:color w:val="548DD4" w:themeColor="text2" w:themeTint="99"/>
          <w:sz w:val="24"/>
          <w:szCs w:val="24"/>
        </w:rPr>
        <w:t>Answer:  A Geo Access report will not be required for OHB14-02 at this time.</w:t>
      </w:r>
    </w:p>
    <w:sectPr w:rsidR="00E453DB" w:rsidRPr="00E453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A3" w:rsidRDefault="00A57BA3" w:rsidP="00767433">
      <w:pPr>
        <w:spacing w:after="0" w:line="240" w:lineRule="auto"/>
      </w:pPr>
      <w:r>
        <w:separator/>
      </w:r>
    </w:p>
  </w:endnote>
  <w:endnote w:type="continuationSeparator" w:id="0">
    <w:p w:rsidR="00A57BA3" w:rsidRDefault="00A57BA3" w:rsidP="0076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33" w:rsidRDefault="00A463CE">
    <w:pPr>
      <w:pStyle w:val="Footer"/>
    </w:pPr>
    <w:r>
      <w:t xml:space="preserve">  Addendum #2</w:t>
    </w:r>
    <w:r w:rsidR="00767433">
      <w:t xml:space="preserve">  </w:t>
    </w:r>
    <w:sdt>
      <w:sdtPr>
        <w:id w:val="1857766396"/>
        <w:docPartObj>
          <w:docPartGallery w:val="Page Numbers (Bottom of Page)"/>
          <w:docPartUnique/>
        </w:docPartObj>
      </w:sdtPr>
      <w:sdtEndPr>
        <w:rPr>
          <w:noProof/>
        </w:rPr>
      </w:sdtEndPr>
      <w:sdtContent>
        <w:r w:rsidR="00767433">
          <w:t xml:space="preserve">Page | </w:t>
        </w:r>
        <w:r w:rsidR="00767433">
          <w:fldChar w:fldCharType="begin"/>
        </w:r>
        <w:r w:rsidR="00767433">
          <w:instrText xml:space="preserve"> PAGE   \* MERGEFORMAT </w:instrText>
        </w:r>
        <w:r w:rsidR="00767433">
          <w:fldChar w:fldCharType="separate"/>
        </w:r>
        <w:r w:rsidR="00595A3C">
          <w:rPr>
            <w:noProof/>
          </w:rPr>
          <w:t>1</w:t>
        </w:r>
        <w:r w:rsidR="00767433">
          <w:rPr>
            <w:noProof/>
          </w:rPr>
          <w:fldChar w:fldCharType="end"/>
        </w:r>
      </w:sdtContent>
    </w:sdt>
  </w:p>
  <w:p w:rsidR="00767433" w:rsidRDefault="0076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A3" w:rsidRDefault="00A57BA3" w:rsidP="00767433">
      <w:pPr>
        <w:spacing w:after="0" w:line="240" w:lineRule="auto"/>
      </w:pPr>
      <w:r>
        <w:separator/>
      </w:r>
    </w:p>
  </w:footnote>
  <w:footnote w:type="continuationSeparator" w:id="0">
    <w:p w:rsidR="00A57BA3" w:rsidRDefault="00A57BA3" w:rsidP="0076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E6"/>
    <w:multiLevelType w:val="hybridMultilevel"/>
    <w:tmpl w:val="1A268BF4"/>
    <w:lvl w:ilvl="0" w:tplc="57363628">
      <w:start w:val="3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0866"/>
    <w:multiLevelType w:val="hybridMultilevel"/>
    <w:tmpl w:val="8DC6515A"/>
    <w:lvl w:ilvl="0" w:tplc="0409000F">
      <w:start w:val="1"/>
      <w:numFmt w:val="decimal"/>
      <w:lvlText w:val="%1."/>
      <w:lvlJc w:val="left"/>
      <w:pPr>
        <w:ind w:left="-144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2">
    <w:nsid w:val="09CA3EB2"/>
    <w:multiLevelType w:val="hybridMultilevel"/>
    <w:tmpl w:val="E9CCE70A"/>
    <w:lvl w:ilvl="0" w:tplc="D3B66A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FE5"/>
    <w:multiLevelType w:val="hybridMultilevel"/>
    <w:tmpl w:val="F1DC3CE4"/>
    <w:lvl w:ilvl="0" w:tplc="A37A20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2643B"/>
    <w:multiLevelType w:val="hybridMultilevel"/>
    <w:tmpl w:val="FED83214"/>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30F6"/>
    <w:multiLevelType w:val="hybridMultilevel"/>
    <w:tmpl w:val="73CE279C"/>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349E2"/>
    <w:multiLevelType w:val="hybridMultilevel"/>
    <w:tmpl w:val="388E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663A30"/>
    <w:multiLevelType w:val="hybridMultilevel"/>
    <w:tmpl w:val="E5D80C38"/>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97905"/>
    <w:multiLevelType w:val="hybridMultilevel"/>
    <w:tmpl w:val="FF8E8D3C"/>
    <w:lvl w:ilvl="0" w:tplc="03065460">
      <w:start w:val="1"/>
      <w:numFmt w:val="bullet"/>
      <w:pStyle w:val="1CVSCBullet1"/>
      <w:lvlText w:val=""/>
      <w:lvlJc w:val="left"/>
      <w:pPr>
        <w:ind w:left="720" w:hanging="360"/>
      </w:pPr>
      <w:rPr>
        <w:rFonts w:ascii="Symbol" w:hAnsi="Symbol" w:hint="default"/>
        <w:color w:val="E73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426E1"/>
    <w:multiLevelType w:val="hybridMultilevel"/>
    <w:tmpl w:val="75FE268E"/>
    <w:lvl w:ilvl="0" w:tplc="62666604">
      <w:start w:val="1"/>
      <w:numFmt w:val="decimal"/>
      <w:pStyle w:val="1ClientQuestion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35E42"/>
    <w:multiLevelType w:val="hybridMultilevel"/>
    <w:tmpl w:val="ED6CDE3E"/>
    <w:lvl w:ilvl="0" w:tplc="78D4BF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7702DF"/>
    <w:multiLevelType w:val="hybridMultilevel"/>
    <w:tmpl w:val="A482BB3E"/>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77294"/>
    <w:multiLevelType w:val="hybridMultilevel"/>
    <w:tmpl w:val="2FD0C8DE"/>
    <w:lvl w:ilvl="0" w:tplc="9EE8CD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021D"/>
    <w:multiLevelType w:val="hybridMultilevel"/>
    <w:tmpl w:val="3B7C5772"/>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4D77AB"/>
    <w:multiLevelType w:val="hybridMultilevel"/>
    <w:tmpl w:val="6CB280EE"/>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30825"/>
    <w:multiLevelType w:val="hybridMultilevel"/>
    <w:tmpl w:val="52DC324A"/>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A1100"/>
    <w:multiLevelType w:val="hybridMultilevel"/>
    <w:tmpl w:val="B7B8A8C0"/>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60F29"/>
    <w:multiLevelType w:val="hybridMultilevel"/>
    <w:tmpl w:val="9F340AAC"/>
    <w:lvl w:ilvl="0" w:tplc="6F1E43F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8DF"/>
    <w:multiLevelType w:val="hybridMultilevel"/>
    <w:tmpl w:val="26EA3B56"/>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80042"/>
    <w:multiLevelType w:val="hybridMultilevel"/>
    <w:tmpl w:val="25C206BA"/>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3429A"/>
    <w:multiLevelType w:val="hybridMultilevel"/>
    <w:tmpl w:val="9E74359E"/>
    <w:lvl w:ilvl="0" w:tplc="E4BA5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0FA5"/>
    <w:multiLevelType w:val="multilevel"/>
    <w:tmpl w:val="3E9A04A8"/>
    <w:lvl w:ilvl="0">
      <w:start w:val="6"/>
      <w:numFmt w:val="decimal"/>
      <w:lvlText w:val="%1"/>
      <w:lvlJc w:val="left"/>
      <w:pPr>
        <w:ind w:left="360" w:hanging="360"/>
      </w:pPr>
    </w:lvl>
    <w:lvl w:ilvl="1">
      <w:start w:val="5"/>
      <w:numFmt w:val="decimal"/>
      <w:lvlText w:val="%1.%2"/>
      <w:lvlJc w:val="left"/>
      <w:pPr>
        <w:ind w:left="990" w:hanging="36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2">
    <w:nsid w:val="637A13DC"/>
    <w:multiLevelType w:val="hybridMultilevel"/>
    <w:tmpl w:val="2E168B16"/>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B349E"/>
    <w:multiLevelType w:val="hybridMultilevel"/>
    <w:tmpl w:val="A3C2E810"/>
    <w:lvl w:ilvl="0" w:tplc="26FA8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24E0B"/>
    <w:multiLevelType w:val="hybridMultilevel"/>
    <w:tmpl w:val="93D842F4"/>
    <w:lvl w:ilvl="0" w:tplc="D0D068E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23BFE"/>
    <w:multiLevelType w:val="multilevel"/>
    <w:tmpl w:val="7DA8FCD2"/>
    <w:lvl w:ilvl="0">
      <w:numFmt w:val="bullet"/>
      <w:lvlText w:val=""/>
      <w:lvlJc w:val="left"/>
      <w:pPr>
        <w:ind w:left="216" w:hanging="216"/>
      </w:pPr>
      <w:rPr>
        <w:rFonts w:ascii="Symbol" w:hAnsi="Symbol" w:hint="default"/>
      </w:rPr>
    </w:lvl>
    <w:lvl w:ilvl="1">
      <w:start w:val="1"/>
      <w:numFmt w:val="bullet"/>
      <w:lvlText w:val=""/>
      <w:lvlJc w:val="left"/>
      <w:pPr>
        <w:ind w:left="1350" w:hanging="360"/>
      </w:pPr>
      <w:rPr>
        <w:rFonts w:ascii="Symbol" w:hAnsi="Symbol" w:hint="default"/>
      </w:rPr>
    </w:lvl>
    <w:lvl w:ilvl="2">
      <w:start w:val="1"/>
      <w:numFmt w:val="bullet"/>
      <w:lvlText w:val="o"/>
      <w:lvlJc w:val="left"/>
      <w:pPr>
        <w:ind w:left="2070" w:hanging="360"/>
      </w:pPr>
      <w:rPr>
        <w:rFonts w:ascii="Courier New" w:hAnsi="Courier New"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Symbol" w:hAnsi="Symbol"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Symbol" w:hAnsi="Symbol" w:hint="default"/>
      </w:rPr>
    </w:lvl>
  </w:abstractNum>
  <w:abstractNum w:abstractNumId="26">
    <w:nsid w:val="6C0A7CEA"/>
    <w:multiLevelType w:val="hybridMultilevel"/>
    <w:tmpl w:val="1F045F04"/>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3BE1"/>
    <w:multiLevelType w:val="hybridMultilevel"/>
    <w:tmpl w:val="4D2AAC46"/>
    <w:lvl w:ilvl="0" w:tplc="95D0E1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1E685A"/>
    <w:multiLevelType w:val="hybridMultilevel"/>
    <w:tmpl w:val="3DDA2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483303"/>
    <w:multiLevelType w:val="hybridMultilevel"/>
    <w:tmpl w:val="2140F16A"/>
    <w:lvl w:ilvl="0" w:tplc="91760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3"/>
  </w:num>
  <w:num w:numId="5">
    <w:abstractNumId w:val="27"/>
  </w:num>
  <w:num w:numId="6">
    <w:abstractNumId w:val="28"/>
  </w:num>
  <w:num w:numId="7">
    <w:abstractNumId w:val="2"/>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5"/>
  </w:num>
  <w:num w:numId="13">
    <w:abstractNumId w:val="7"/>
  </w:num>
  <w:num w:numId="14">
    <w:abstractNumId w:val="24"/>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19"/>
  </w:num>
  <w:num w:numId="22">
    <w:abstractNumId w:val="22"/>
  </w:num>
  <w:num w:numId="23">
    <w:abstractNumId w:val="4"/>
  </w:num>
  <w:num w:numId="24">
    <w:abstractNumId w:val="0"/>
  </w:num>
  <w:num w:numId="25">
    <w:abstractNumId w:val="12"/>
  </w:num>
  <w:num w:numId="26">
    <w:abstractNumId w:val="9"/>
  </w:num>
  <w:num w:numId="27">
    <w:abstractNumId w:val="8"/>
  </w:num>
  <w:num w:numId="28">
    <w:abstractNumId w:val="6"/>
  </w:num>
  <w:num w:numId="29">
    <w:abstractNumId w:val="6"/>
  </w:num>
  <w:num w:numId="30">
    <w:abstractNumId w:val="5"/>
  </w:num>
  <w:num w:numId="31">
    <w:abstractNumId w:val="14"/>
  </w:num>
  <w:num w:numId="32">
    <w:abstractNumId w:val="26"/>
  </w:num>
  <w:num w:numId="33">
    <w:abstractNumId w:val="16"/>
  </w:num>
  <w:num w:numId="34">
    <w:abstractNumId w:val="13"/>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E8"/>
    <w:rsid w:val="0000191A"/>
    <w:rsid w:val="00036D77"/>
    <w:rsid w:val="00047F32"/>
    <w:rsid w:val="000657B7"/>
    <w:rsid w:val="00072765"/>
    <w:rsid w:val="00076CB8"/>
    <w:rsid w:val="000B0DFC"/>
    <w:rsid w:val="00163079"/>
    <w:rsid w:val="00170B02"/>
    <w:rsid w:val="00184C75"/>
    <w:rsid w:val="00192611"/>
    <w:rsid w:val="001E5469"/>
    <w:rsid w:val="001F7D98"/>
    <w:rsid w:val="00220857"/>
    <w:rsid w:val="00221641"/>
    <w:rsid w:val="00222B98"/>
    <w:rsid w:val="00256BFF"/>
    <w:rsid w:val="00264A2D"/>
    <w:rsid w:val="002723BC"/>
    <w:rsid w:val="00273755"/>
    <w:rsid w:val="00283FB6"/>
    <w:rsid w:val="002C1817"/>
    <w:rsid w:val="002C4928"/>
    <w:rsid w:val="002D038C"/>
    <w:rsid w:val="002D045A"/>
    <w:rsid w:val="002E326E"/>
    <w:rsid w:val="00345F9D"/>
    <w:rsid w:val="00380F84"/>
    <w:rsid w:val="0038721E"/>
    <w:rsid w:val="003C0B41"/>
    <w:rsid w:val="003C50B7"/>
    <w:rsid w:val="003D2D77"/>
    <w:rsid w:val="00406A9F"/>
    <w:rsid w:val="00411C78"/>
    <w:rsid w:val="00444192"/>
    <w:rsid w:val="00472534"/>
    <w:rsid w:val="00474890"/>
    <w:rsid w:val="00480ADD"/>
    <w:rsid w:val="004903D9"/>
    <w:rsid w:val="00494F33"/>
    <w:rsid w:val="005273BE"/>
    <w:rsid w:val="005349DD"/>
    <w:rsid w:val="0059262D"/>
    <w:rsid w:val="00595A3C"/>
    <w:rsid w:val="005B0EAC"/>
    <w:rsid w:val="005F2EC9"/>
    <w:rsid w:val="00613BD6"/>
    <w:rsid w:val="00645141"/>
    <w:rsid w:val="0068423B"/>
    <w:rsid w:val="006A19EE"/>
    <w:rsid w:val="006A6B3E"/>
    <w:rsid w:val="006B512F"/>
    <w:rsid w:val="006D1160"/>
    <w:rsid w:val="006D1F58"/>
    <w:rsid w:val="006E164B"/>
    <w:rsid w:val="006F7780"/>
    <w:rsid w:val="007047FA"/>
    <w:rsid w:val="00724695"/>
    <w:rsid w:val="0074453A"/>
    <w:rsid w:val="00750935"/>
    <w:rsid w:val="00767433"/>
    <w:rsid w:val="00792CF1"/>
    <w:rsid w:val="007941A3"/>
    <w:rsid w:val="007D6ACC"/>
    <w:rsid w:val="008116C0"/>
    <w:rsid w:val="008163D5"/>
    <w:rsid w:val="008324A0"/>
    <w:rsid w:val="0088282E"/>
    <w:rsid w:val="008912B7"/>
    <w:rsid w:val="008E2A27"/>
    <w:rsid w:val="008E571A"/>
    <w:rsid w:val="008F6F09"/>
    <w:rsid w:val="008F7630"/>
    <w:rsid w:val="00900550"/>
    <w:rsid w:val="00916661"/>
    <w:rsid w:val="009532EA"/>
    <w:rsid w:val="009637AC"/>
    <w:rsid w:val="00995773"/>
    <w:rsid w:val="009B13E2"/>
    <w:rsid w:val="00A463CE"/>
    <w:rsid w:val="00A51253"/>
    <w:rsid w:val="00A57BA3"/>
    <w:rsid w:val="00A640C5"/>
    <w:rsid w:val="00A65E1F"/>
    <w:rsid w:val="00A6718E"/>
    <w:rsid w:val="00A959C1"/>
    <w:rsid w:val="00AA2E06"/>
    <w:rsid w:val="00AB2995"/>
    <w:rsid w:val="00AC6DF8"/>
    <w:rsid w:val="00AD4A1D"/>
    <w:rsid w:val="00B053BD"/>
    <w:rsid w:val="00B11A60"/>
    <w:rsid w:val="00B22D9D"/>
    <w:rsid w:val="00B2301A"/>
    <w:rsid w:val="00B3779A"/>
    <w:rsid w:val="00B54A27"/>
    <w:rsid w:val="00B577E8"/>
    <w:rsid w:val="00B76428"/>
    <w:rsid w:val="00B80E1F"/>
    <w:rsid w:val="00BB3735"/>
    <w:rsid w:val="00BE47F0"/>
    <w:rsid w:val="00C01558"/>
    <w:rsid w:val="00C23928"/>
    <w:rsid w:val="00CF2553"/>
    <w:rsid w:val="00D2740A"/>
    <w:rsid w:val="00D3178C"/>
    <w:rsid w:val="00D42C6D"/>
    <w:rsid w:val="00D5420E"/>
    <w:rsid w:val="00D5664C"/>
    <w:rsid w:val="00D7073E"/>
    <w:rsid w:val="00D75B51"/>
    <w:rsid w:val="00D94EB5"/>
    <w:rsid w:val="00DA01A4"/>
    <w:rsid w:val="00DD45AE"/>
    <w:rsid w:val="00DD4693"/>
    <w:rsid w:val="00E240B5"/>
    <w:rsid w:val="00E453DB"/>
    <w:rsid w:val="00E66507"/>
    <w:rsid w:val="00EA0C5C"/>
    <w:rsid w:val="00F11245"/>
    <w:rsid w:val="00F3244A"/>
    <w:rsid w:val="00F55AEF"/>
    <w:rsid w:val="00F80E3E"/>
    <w:rsid w:val="00FC05CA"/>
    <w:rsid w:val="00FD1533"/>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016">
      <w:bodyDiv w:val="1"/>
      <w:marLeft w:val="0"/>
      <w:marRight w:val="0"/>
      <w:marTop w:val="0"/>
      <w:marBottom w:val="0"/>
      <w:divBdr>
        <w:top w:val="none" w:sz="0" w:space="0" w:color="auto"/>
        <w:left w:val="none" w:sz="0" w:space="0" w:color="auto"/>
        <w:bottom w:val="none" w:sz="0" w:space="0" w:color="auto"/>
        <w:right w:val="none" w:sz="0" w:space="0" w:color="auto"/>
      </w:divBdr>
    </w:div>
    <w:div w:id="201134269">
      <w:bodyDiv w:val="1"/>
      <w:marLeft w:val="0"/>
      <w:marRight w:val="0"/>
      <w:marTop w:val="0"/>
      <w:marBottom w:val="0"/>
      <w:divBdr>
        <w:top w:val="none" w:sz="0" w:space="0" w:color="auto"/>
        <w:left w:val="none" w:sz="0" w:space="0" w:color="auto"/>
        <w:bottom w:val="none" w:sz="0" w:space="0" w:color="auto"/>
        <w:right w:val="none" w:sz="0" w:space="0" w:color="auto"/>
      </w:divBdr>
    </w:div>
    <w:div w:id="334766701">
      <w:bodyDiv w:val="1"/>
      <w:marLeft w:val="0"/>
      <w:marRight w:val="0"/>
      <w:marTop w:val="0"/>
      <w:marBottom w:val="0"/>
      <w:divBdr>
        <w:top w:val="none" w:sz="0" w:space="0" w:color="auto"/>
        <w:left w:val="none" w:sz="0" w:space="0" w:color="auto"/>
        <w:bottom w:val="none" w:sz="0" w:space="0" w:color="auto"/>
        <w:right w:val="none" w:sz="0" w:space="0" w:color="auto"/>
      </w:divBdr>
    </w:div>
    <w:div w:id="340280937">
      <w:bodyDiv w:val="1"/>
      <w:marLeft w:val="0"/>
      <w:marRight w:val="0"/>
      <w:marTop w:val="0"/>
      <w:marBottom w:val="0"/>
      <w:divBdr>
        <w:top w:val="none" w:sz="0" w:space="0" w:color="auto"/>
        <w:left w:val="none" w:sz="0" w:space="0" w:color="auto"/>
        <w:bottom w:val="none" w:sz="0" w:space="0" w:color="auto"/>
        <w:right w:val="none" w:sz="0" w:space="0" w:color="auto"/>
      </w:divBdr>
    </w:div>
    <w:div w:id="349457230">
      <w:bodyDiv w:val="1"/>
      <w:marLeft w:val="0"/>
      <w:marRight w:val="0"/>
      <w:marTop w:val="0"/>
      <w:marBottom w:val="0"/>
      <w:divBdr>
        <w:top w:val="none" w:sz="0" w:space="0" w:color="auto"/>
        <w:left w:val="none" w:sz="0" w:space="0" w:color="auto"/>
        <w:bottom w:val="none" w:sz="0" w:space="0" w:color="auto"/>
        <w:right w:val="none" w:sz="0" w:space="0" w:color="auto"/>
      </w:divBdr>
    </w:div>
    <w:div w:id="402529429">
      <w:bodyDiv w:val="1"/>
      <w:marLeft w:val="0"/>
      <w:marRight w:val="0"/>
      <w:marTop w:val="0"/>
      <w:marBottom w:val="0"/>
      <w:divBdr>
        <w:top w:val="none" w:sz="0" w:space="0" w:color="auto"/>
        <w:left w:val="none" w:sz="0" w:space="0" w:color="auto"/>
        <w:bottom w:val="none" w:sz="0" w:space="0" w:color="auto"/>
        <w:right w:val="none" w:sz="0" w:space="0" w:color="auto"/>
      </w:divBdr>
    </w:div>
    <w:div w:id="513959715">
      <w:bodyDiv w:val="1"/>
      <w:marLeft w:val="0"/>
      <w:marRight w:val="0"/>
      <w:marTop w:val="0"/>
      <w:marBottom w:val="0"/>
      <w:divBdr>
        <w:top w:val="none" w:sz="0" w:space="0" w:color="auto"/>
        <w:left w:val="none" w:sz="0" w:space="0" w:color="auto"/>
        <w:bottom w:val="none" w:sz="0" w:space="0" w:color="auto"/>
        <w:right w:val="none" w:sz="0" w:space="0" w:color="auto"/>
      </w:divBdr>
    </w:div>
    <w:div w:id="584262460">
      <w:bodyDiv w:val="1"/>
      <w:marLeft w:val="0"/>
      <w:marRight w:val="0"/>
      <w:marTop w:val="0"/>
      <w:marBottom w:val="0"/>
      <w:divBdr>
        <w:top w:val="none" w:sz="0" w:space="0" w:color="auto"/>
        <w:left w:val="none" w:sz="0" w:space="0" w:color="auto"/>
        <w:bottom w:val="none" w:sz="0" w:space="0" w:color="auto"/>
        <w:right w:val="none" w:sz="0" w:space="0" w:color="auto"/>
      </w:divBdr>
    </w:div>
    <w:div w:id="604310907">
      <w:bodyDiv w:val="1"/>
      <w:marLeft w:val="0"/>
      <w:marRight w:val="0"/>
      <w:marTop w:val="0"/>
      <w:marBottom w:val="0"/>
      <w:divBdr>
        <w:top w:val="none" w:sz="0" w:space="0" w:color="auto"/>
        <w:left w:val="none" w:sz="0" w:space="0" w:color="auto"/>
        <w:bottom w:val="none" w:sz="0" w:space="0" w:color="auto"/>
        <w:right w:val="none" w:sz="0" w:space="0" w:color="auto"/>
      </w:divBdr>
    </w:div>
    <w:div w:id="645203177">
      <w:bodyDiv w:val="1"/>
      <w:marLeft w:val="0"/>
      <w:marRight w:val="0"/>
      <w:marTop w:val="0"/>
      <w:marBottom w:val="0"/>
      <w:divBdr>
        <w:top w:val="none" w:sz="0" w:space="0" w:color="auto"/>
        <w:left w:val="none" w:sz="0" w:space="0" w:color="auto"/>
        <w:bottom w:val="none" w:sz="0" w:space="0" w:color="auto"/>
        <w:right w:val="none" w:sz="0" w:space="0" w:color="auto"/>
      </w:divBdr>
    </w:div>
    <w:div w:id="698315916">
      <w:bodyDiv w:val="1"/>
      <w:marLeft w:val="0"/>
      <w:marRight w:val="0"/>
      <w:marTop w:val="0"/>
      <w:marBottom w:val="0"/>
      <w:divBdr>
        <w:top w:val="none" w:sz="0" w:space="0" w:color="auto"/>
        <w:left w:val="none" w:sz="0" w:space="0" w:color="auto"/>
        <w:bottom w:val="none" w:sz="0" w:space="0" w:color="auto"/>
        <w:right w:val="none" w:sz="0" w:space="0" w:color="auto"/>
      </w:divBdr>
    </w:div>
    <w:div w:id="879780220">
      <w:bodyDiv w:val="1"/>
      <w:marLeft w:val="0"/>
      <w:marRight w:val="0"/>
      <w:marTop w:val="0"/>
      <w:marBottom w:val="0"/>
      <w:divBdr>
        <w:top w:val="none" w:sz="0" w:space="0" w:color="auto"/>
        <w:left w:val="none" w:sz="0" w:space="0" w:color="auto"/>
        <w:bottom w:val="none" w:sz="0" w:space="0" w:color="auto"/>
        <w:right w:val="none" w:sz="0" w:space="0" w:color="auto"/>
      </w:divBdr>
    </w:div>
    <w:div w:id="929583324">
      <w:bodyDiv w:val="1"/>
      <w:marLeft w:val="0"/>
      <w:marRight w:val="0"/>
      <w:marTop w:val="0"/>
      <w:marBottom w:val="0"/>
      <w:divBdr>
        <w:top w:val="none" w:sz="0" w:space="0" w:color="auto"/>
        <w:left w:val="none" w:sz="0" w:space="0" w:color="auto"/>
        <w:bottom w:val="none" w:sz="0" w:space="0" w:color="auto"/>
        <w:right w:val="none" w:sz="0" w:space="0" w:color="auto"/>
      </w:divBdr>
    </w:div>
    <w:div w:id="1021587533">
      <w:bodyDiv w:val="1"/>
      <w:marLeft w:val="0"/>
      <w:marRight w:val="0"/>
      <w:marTop w:val="0"/>
      <w:marBottom w:val="0"/>
      <w:divBdr>
        <w:top w:val="none" w:sz="0" w:space="0" w:color="auto"/>
        <w:left w:val="none" w:sz="0" w:space="0" w:color="auto"/>
        <w:bottom w:val="none" w:sz="0" w:space="0" w:color="auto"/>
        <w:right w:val="none" w:sz="0" w:space="0" w:color="auto"/>
      </w:divBdr>
    </w:div>
    <w:div w:id="1040788527">
      <w:bodyDiv w:val="1"/>
      <w:marLeft w:val="0"/>
      <w:marRight w:val="0"/>
      <w:marTop w:val="0"/>
      <w:marBottom w:val="0"/>
      <w:divBdr>
        <w:top w:val="none" w:sz="0" w:space="0" w:color="auto"/>
        <w:left w:val="none" w:sz="0" w:space="0" w:color="auto"/>
        <w:bottom w:val="none" w:sz="0" w:space="0" w:color="auto"/>
        <w:right w:val="none" w:sz="0" w:space="0" w:color="auto"/>
      </w:divBdr>
    </w:div>
    <w:div w:id="1083835213">
      <w:bodyDiv w:val="1"/>
      <w:marLeft w:val="0"/>
      <w:marRight w:val="0"/>
      <w:marTop w:val="0"/>
      <w:marBottom w:val="0"/>
      <w:divBdr>
        <w:top w:val="none" w:sz="0" w:space="0" w:color="auto"/>
        <w:left w:val="none" w:sz="0" w:space="0" w:color="auto"/>
        <w:bottom w:val="none" w:sz="0" w:space="0" w:color="auto"/>
        <w:right w:val="none" w:sz="0" w:space="0" w:color="auto"/>
      </w:divBdr>
    </w:div>
    <w:div w:id="1095250773">
      <w:bodyDiv w:val="1"/>
      <w:marLeft w:val="0"/>
      <w:marRight w:val="0"/>
      <w:marTop w:val="0"/>
      <w:marBottom w:val="0"/>
      <w:divBdr>
        <w:top w:val="none" w:sz="0" w:space="0" w:color="auto"/>
        <w:left w:val="none" w:sz="0" w:space="0" w:color="auto"/>
        <w:bottom w:val="none" w:sz="0" w:space="0" w:color="auto"/>
        <w:right w:val="none" w:sz="0" w:space="0" w:color="auto"/>
      </w:divBdr>
    </w:div>
    <w:div w:id="1268007521">
      <w:bodyDiv w:val="1"/>
      <w:marLeft w:val="0"/>
      <w:marRight w:val="0"/>
      <w:marTop w:val="0"/>
      <w:marBottom w:val="0"/>
      <w:divBdr>
        <w:top w:val="none" w:sz="0" w:space="0" w:color="auto"/>
        <w:left w:val="none" w:sz="0" w:space="0" w:color="auto"/>
        <w:bottom w:val="none" w:sz="0" w:space="0" w:color="auto"/>
        <w:right w:val="none" w:sz="0" w:space="0" w:color="auto"/>
      </w:divBdr>
    </w:div>
    <w:div w:id="1326594235">
      <w:bodyDiv w:val="1"/>
      <w:marLeft w:val="0"/>
      <w:marRight w:val="0"/>
      <w:marTop w:val="0"/>
      <w:marBottom w:val="0"/>
      <w:divBdr>
        <w:top w:val="none" w:sz="0" w:space="0" w:color="auto"/>
        <w:left w:val="none" w:sz="0" w:space="0" w:color="auto"/>
        <w:bottom w:val="none" w:sz="0" w:space="0" w:color="auto"/>
        <w:right w:val="none" w:sz="0" w:space="0" w:color="auto"/>
      </w:divBdr>
    </w:div>
    <w:div w:id="1520311264">
      <w:bodyDiv w:val="1"/>
      <w:marLeft w:val="0"/>
      <w:marRight w:val="0"/>
      <w:marTop w:val="0"/>
      <w:marBottom w:val="0"/>
      <w:divBdr>
        <w:top w:val="none" w:sz="0" w:space="0" w:color="auto"/>
        <w:left w:val="none" w:sz="0" w:space="0" w:color="auto"/>
        <w:bottom w:val="none" w:sz="0" w:space="0" w:color="auto"/>
        <w:right w:val="none" w:sz="0" w:space="0" w:color="auto"/>
      </w:divBdr>
    </w:div>
    <w:div w:id="1547256731">
      <w:bodyDiv w:val="1"/>
      <w:marLeft w:val="0"/>
      <w:marRight w:val="0"/>
      <w:marTop w:val="0"/>
      <w:marBottom w:val="0"/>
      <w:divBdr>
        <w:top w:val="none" w:sz="0" w:space="0" w:color="auto"/>
        <w:left w:val="none" w:sz="0" w:space="0" w:color="auto"/>
        <w:bottom w:val="none" w:sz="0" w:space="0" w:color="auto"/>
        <w:right w:val="none" w:sz="0" w:space="0" w:color="auto"/>
      </w:divBdr>
    </w:div>
    <w:div w:id="1596670606">
      <w:bodyDiv w:val="1"/>
      <w:marLeft w:val="0"/>
      <w:marRight w:val="0"/>
      <w:marTop w:val="0"/>
      <w:marBottom w:val="0"/>
      <w:divBdr>
        <w:top w:val="none" w:sz="0" w:space="0" w:color="auto"/>
        <w:left w:val="none" w:sz="0" w:space="0" w:color="auto"/>
        <w:bottom w:val="none" w:sz="0" w:space="0" w:color="auto"/>
        <w:right w:val="none" w:sz="0" w:space="0" w:color="auto"/>
      </w:divBdr>
    </w:div>
    <w:div w:id="1721585370">
      <w:bodyDiv w:val="1"/>
      <w:marLeft w:val="0"/>
      <w:marRight w:val="0"/>
      <w:marTop w:val="0"/>
      <w:marBottom w:val="0"/>
      <w:divBdr>
        <w:top w:val="none" w:sz="0" w:space="0" w:color="auto"/>
        <w:left w:val="none" w:sz="0" w:space="0" w:color="auto"/>
        <w:bottom w:val="none" w:sz="0" w:space="0" w:color="auto"/>
        <w:right w:val="none" w:sz="0" w:space="0" w:color="auto"/>
      </w:divBdr>
    </w:div>
    <w:div w:id="1786650757">
      <w:bodyDiv w:val="1"/>
      <w:marLeft w:val="0"/>
      <w:marRight w:val="0"/>
      <w:marTop w:val="0"/>
      <w:marBottom w:val="0"/>
      <w:divBdr>
        <w:top w:val="none" w:sz="0" w:space="0" w:color="auto"/>
        <w:left w:val="none" w:sz="0" w:space="0" w:color="auto"/>
        <w:bottom w:val="none" w:sz="0" w:space="0" w:color="auto"/>
        <w:right w:val="none" w:sz="0" w:space="0" w:color="auto"/>
      </w:divBdr>
    </w:div>
    <w:div w:id="1834104797">
      <w:bodyDiv w:val="1"/>
      <w:marLeft w:val="0"/>
      <w:marRight w:val="0"/>
      <w:marTop w:val="0"/>
      <w:marBottom w:val="0"/>
      <w:divBdr>
        <w:top w:val="none" w:sz="0" w:space="0" w:color="auto"/>
        <w:left w:val="none" w:sz="0" w:space="0" w:color="auto"/>
        <w:bottom w:val="none" w:sz="0" w:space="0" w:color="auto"/>
        <w:right w:val="none" w:sz="0" w:space="0" w:color="auto"/>
      </w:divBdr>
    </w:div>
    <w:div w:id="1987201464">
      <w:bodyDiv w:val="1"/>
      <w:marLeft w:val="0"/>
      <w:marRight w:val="0"/>
      <w:marTop w:val="0"/>
      <w:marBottom w:val="0"/>
      <w:divBdr>
        <w:top w:val="none" w:sz="0" w:space="0" w:color="auto"/>
        <w:left w:val="none" w:sz="0" w:space="0" w:color="auto"/>
        <w:bottom w:val="none" w:sz="0" w:space="0" w:color="auto"/>
        <w:right w:val="none" w:sz="0" w:space="0" w:color="auto"/>
      </w:divBdr>
    </w:div>
    <w:div w:id="2031760820">
      <w:bodyDiv w:val="1"/>
      <w:marLeft w:val="0"/>
      <w:marRight w:val="0"/>
      <w:marTop w:val="0"/>
      <w:marBottom w:val="0"/>
      <w:divBdr>
        <w:top w:val="none" w:sz="0" w:space="0" w:color="auto"/>
        <w:left w:val="none" w:sz="0" w:space="0" w:color="auto"/>
        <w:bottom w:val="none" w:sz="0" w:space="0" w:color="auto"/>
        <w:right w:val="none" w:sz="0" w:space="0" w:color="auto"/>
      </w:divBdr>
    </w:div>
    <w:div w:id="20598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napdmbx@aon.com" TargetMode="External"/><Relationship Id="rId4" Type="http://schemas.microsoft.com/office/2007/relationships/stylesWithEffects" Target="stylesWithEffects.xml"/><Relationship Id="rId9" Type="http://schemas.openxmlformats.org/officeDocument/2006/relationships/hyperlink" Target="http://www.thelocalchoice.virginia.gov/planinfo/ComparisonofBenefits14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7A4-6D23-4D52-BB8C-A7498FD9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Garnett</dc:creator>
  <cp:lastModifiedBy>mpp46518</cp:lastModifiedBy>
  <cp:revision>2</cp:revision>
  <cp:lastPrinted>2014-11-25T15:34:00Z</cp:lastPrinted>
  <dcterms:created xsi:type="dcterms:W3CDTF">2014-12-04T20:19:00Z</dcterms:created>
  <dcterms:modified xsi:type="dcterms:W3CDTF">2014-12-04T20:19:00Z</dcterms:modified>
</cp:coreProperties>
</file>